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Ind w:w="-176" w:type="dxa"/>
        <w:tblLook w:val="01E0" w:firstRow="1" w:lastRow="1" w:firstColumn="1" w:lastColumn="1" w:noHBand="0" w:noVBand="0"/>
      </w:tblPr>
      <w:tblGrid>
        <w:gridCol w:w="4503"/>
        <w:gridCol w:w="5103"/>
      </w:tblGrid>
      <w:tr w:rsidR="009778A9" w:rsidRPr="009778A9" w14:paraId="62C639C4" w14:textId="77777777" w:rsidTr="00C35BD0">
        <w:trPr>
          <w:trHeight w:val="709"/>
        </w:trPr>
        <w:tc>
          <w:tcPr>
            <w:tcW w:w="4503" w:type="dxa"/>
            <w:shd w:val="clear" w:color="auto" w:fill="FFFFFF"/>
          </w:tcPr>
          <w:p w14:paraId="026253BD" w14:textId="22008AC9" w:rsidR="000925D9" w:rsidRPr="009778A9" w:rsidRDefault="000925D9" w:rsidP="00C35BD0">
            <w:pPr>
              <w:keepNext/>
              <w:widowControl w:val="0"/>
              <w:tabs>
                <w:tab w:val="left" w:pos="2700"/>
              </w:tabs>
              <w:spacing w:after="0" w:line="240" w:lineRule="auto"/>
              <w:ind w:left="68"/>
              <w:jc w:val="center"/>
              <w:rPr>
                <w:rFonts w:cs="Times New Roman"/>
                <w:b/>
                <w:iCs/>
                <w:color w:val="000000" w:themeColor="text1"/>
                <w:w w:val="90"/>
                <w:szCs w:val="26"/>
              </w:rPr>
            </w:pPr>
            <w:r w:rsidRPr="009778A9">
              <w:rPr>
                <w:rFonts w:cs="Times New Roman"/>
                <w:b/>
                <w:iCs/>
                <w:color w:val="000000" w:themeColor="text1"/>
                <w:w w:val="90"/>
                <w:szCs w:val="26"/>
              </w:rPr>
              <w:t>BỘ NÔNG NGHIỆP VÀ MÔI TRƯỜNG</w:t>
            </w:r>
          </w:p>
          <w:p w14:paraId="11331FCD" w14:textId="77777777" w:rsidR="000925D9" w:rsidRPr="009778A9" w:rsidRDefault="000925D9" w:rsidP="00C35BD0">
            <w:pPr>
              <w:keepNext/>
              <w:widowControl w:val="0"/>
              <w:tabs>
                <w:tab w:val="left" w:pos="2700"/>
              </w:tabs>
              <w:spacing w:after="0" w:line="240" w:lineRule="auto"/>
              <w:jc w:val="center"/>
              <w:rPr>
                <w:rFonts w:cs="Times New Roman"/>
                <w:iCs/>
                <w:color w:val="000000" w:themeColor="text1"/>
                <w:sz w:val="28"/>
                <w:szCs w:val="28"/>
              </w:rPr>
            </w:pPr>
            <w:r w:rsidRPr="009778A9">
              <w:rPr>
                <w:rFonts w:cs="Times New Roman"/>
                <w:noProof/>
                <w:color w:val="000000" w:themeColor="text1"/>
                <w:sz w:val="28"/>
                <w:szCs w:val="28"/>
              </w:rPr>
              <mc:AlternateContent>
                <mc:Choice Requires="wps">
                  <w:drawing>
                    <wp:anchor distT="4294967291" distB="4294967291" distL="114300" distR="114300" simplePos="0" relativeHeight="251658240" behindDoc="0" locked="0" layoutInCell="1" allowOverlap="1" wp14:anchorId="032B0104" wp14:editId="23D29B65">
                      <wp:simplePos x="0" y="0"/>
                      <wp:positionH relativeFrom="column">
                        <wp:posOffset>753110</wp:posOffset>
                      </wp:positionH>
                      <wp:positionV relativeFrom="paragraph">
                        <wp:posOffset>33019</wp:posOffset>
                      </wp:positionV>
                      <wp:extent cx="1229360" cy="0"/>
                      <wp:effectExtent l="0" t="0" r="0" b="0"/>
                      <wp:wrapNone/>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936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04E0D4" id="Line 12"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3pt,2.6pt" to="156.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" strokeweight=".5pt"/>
                  </w:pict>
                </mc:Fallback>
              </mc:AlternateContent>
            </w:r>
          </w:p>
          <w:p w14:paraId="7157C068" w14:textId="77777777" w:rsidR="000925D9" w:rsidRPr="009778A9" w:rsidRDefault="000925D9" w:rsidP="00C35BD0">
            <w:pPr>
              <w:keepNext/>
              <w:widowControl w:val="0"/>
              <w:tabs>
                <w:tab w:val="left" w:pos="2700"/>
              </w:tabs>
              <w:spacing w:after="0" w:line="240" w:lineRule="auto"/>
              <w:jc w:val="center"/>
              <w:rPr>
                <w:rFonts w:cs="Times New Roman"/>
                <w:iCs/>
                <w:color w:val="000000" w:themeColor="text1"/>
                <w:spacing w:val="-10"/>
                <w:sz w:val="28"/>
                <w:szCs w:val="28"/>
              </w:rPr>
            </w:pPr>
          </w:p>
        </w:tc>
        <w:tc>
          <w:tcPr>
            <w:tcW w:w="5103" w:type="dxa"/>
            <w:shd w:val="clear" w:color="auto" w:fill="FFFFFF"/>
          </w:tcPr>
          <w:p w14:paraId="4E7D4AD2" w14:textId="77777777" w:rsidR="000925D9" w:rsidRPr="009778A9" w:rsidRDefault="000925D9" w:rsidP="00C35BD0">
            <w:pPr>
              <w:keepNext/>
              <w:widowControl w:val="0"/>
              <w:tabs>
                <w:tab w:val="left" w:pos="2700"/>
              </w:tabs>
              <w:spacing w:after="0" w:line="240" w:lineRule="auto"/>
              <w:jc w:val="center"/>
              <w:rPr>
                <w:rFonts w:cs="Times New Roman"/>
                <w:b/>
                <w:iCs/>
                <w:color w:val="000000" w:themeColor="text1"/>
                <w:w w:val="90"/>
                <w:szCs w:val="26"/>
              </w:rPr>
            </w:pPr>
            <w:r w:rsidRPr="009778A9">
              <w:rPr>
                <w:rFonts w:cs="Times New Roman"/>
                <w:b/>
                <w:iCs/>
                <w:color w:val="000000" w:themeColor="text1"/>
                <w:w w:val="90"/>
                <w:szCs w:val="26"/>
              </w:rPr>
              <w:t>CỘNG HÒA XÃ HỘI CHỦ NGHĨA VIỆT NAM</w:t>
            </w:r>
          </w:p>
          <w:p w14:paraId="37AC29A4" w14:textId="77777777" w:rsidR="000925D9" w:rsidRPr="009778A9" w:rsidRDefault="000925D9" w:rsidP="00C35BD0">
            <w:pPr>
              <w:keepNext/>
              <w:widowControl w:val="0"/>
              <w:tabs>
                <w:tab w:val="left" w:pos="2700"/>
              </w:tabs>
              <w:spacing w:after="0" w:line="240" w:lineRule="auto"/>
              <w:jc w:val="center"/>
              <w:rPr>
                <w:rFonts w:cs="Times New Roman"/>
                <w:b/>
                <w:iCs/>
                <w:color w:val="000000" w:themeColor="text1"/>
                <w:w w:val="90"/>
                <w:sz w:val="28"/>
                <w:szCs w:val="28"/>
              </w:rPr>
            </w:pPr>
            <w:r w:rsidRPr="009778A9">
              <w:rPr>
                <w:rFonts w:cs="Times New Roman"/>
                <w:noProof/>
                <w:color w:val="000000" w:themeColor="text1"/>
                <w:sz w:val="28"/>
                <w:szCs w:val="28"/>
              </w:rPr>
              <mc:AlternateContent>
                <mc:Choice Requires="wps">
                  <w:drawing>
                    <wp:anchor distT="4294967291" distB="4294967291" distL="114300" distR="114300" simplePos="0" relativeHeight="251656192" behindDoc="0" locked="0" layoutInCell="1" allowOverlap="1" wp14:anchorId="61A03A39" wp14:editId="5AE686F4">
                      <wp:simplePos x="0" y="0"/>
                      <wp:positionH relativeFrom="column">
                        <wp:posOffset>502920</wp:posOffset>
                      </wp:positionH>
                      <wp:positionV relativeFrom="paragraph">
                        <wp:posOffset>230504</wp:posOffset>
                      </wp:positionV>
                      <wp:extent cx="2048510" cy="0"/>
                      <wp:effectExtent l="0" t="0" r="0" b="0"/>
                      <wp:wrapNone/>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51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B2DF05E" id="Line 9"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9.6pt,18.15pt" to="200.9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" strokeweight=".5pt"/>
                  </w:pict>
                </mc:Fallback>
              </mc:AlternateContent>
            </w:r>
            <w:r w:rsidRPr="009778A9">
              <w:rPr>
                <w:rFonts w:cs="Times New Roman"/>
                <w:b/>
                <w:iCs/>
                <w:color w:val="000000" w:themeColor="text1"/>
                <w:sz w:val="28"/>
                <w:szCs w:val="28"/>
              </w:rPr>
              <w:t>Độc lập - Tự do - Hạnh phúc</w:t>
            </w:r>
          </w:p>
        </w:tc>
      </w:tr>
      <w:tr w:rsidR="009778A9" w:rsidRPr="009778A9" w14:paraId="698E5CFA" w14:textId="77777777" w:rsidTr="00C35BD0">
        <w:trPr>
          <w:trHeight w:val="156"/>
        </w:trPr>
        <w:tc>
          <w:tcPr>
            <w:tcW w:w="4503" w:type="dxa"/>
            <w:shd w:val="clear" w:color="auto" w:fill="FFFFFF"/>
          </w:tcPr>
          <w:p w14:paraId="69A2EF17" w14:textId="77777777" w:rsidR="000925D9" w:rsidRPr="009778A9" w:rsidRDefault="000925D9" w:rsidP="00C35BD0">
            <w:pPr>
              <w:keepNext/>
              <w:widowControl w:val="0"/>
              <w:tabs>
                <w:tab w:val="left" w:pos="2700"/>
              </w:tabs>
              <w:jc w:val="center"/>
              <w:rPr>
                <w:rFonts w:cs="Times New Roman"/>
                <w:b/>
                <w:iCs/>
                <w:color w:val="000000" w:themeColor="text1"/>
                <w:w w:val="90"/>
                <w:sz w:val="28"/>
                <w:szCs w:val="28"/>
              </w:rPr>
            </w:pPr>
          </w:p>
        </w:tc>
        <w:tc>
          <w:tcPr>
            <w:tcW w:w="5103" w:type="dxa"/>
            <w:shd w:val="clear" w:color="auto" w:fill="FFFFFF"/>
          </w:tcPr>
          <w:p w14:paraId="2ABB2BDC" w14:textId="77777777" w:rsidR="000925D9" w:rsidRPr="009778A9" w:rsidRDefault="000925D9" w:rsidP="00C35BD0">
            <w:pPr>
              <w:keepNext/>
              <w:widowControl w:val="0"/>
              <w:tabs>
                <w:tab w:val="left" w:pos="2700"/>
              </w:tabs>
              <w:jc w:val="center"/>
              <w:rPr>
                <w:rFonts w:cs="Times New Roman"/>
                <w:b/>
                <w:iCs/>
                <w:color w:val="000000" w:themeColor="text1"/>
                <w:w w:val="90"/>
                <w:sz w:val="28"/>
                <w:szCs w:val="28"/>
              </w:rPr>
            </w:pPr>
            <w:r w:rsidRPr="009778A9">
              <w:rPr>
                <w:rFonts w:cs="Times New Roman"/>
                <w:i/>
                <w:color w:val="000000" w:themeColor="text1"/>
                <w:sz w:val="28"/>
                <w:szCs w:val="28"/>
              </w:rPr>
              <w:t>Hà Nội, ngày       tháng       năm 2026</w:t>
            </w:r>
          </w:p>
        </w:tc>
      </w:tr>
    </w:tbl>
    <w:p w14:paraId="2B8A6CE1" w14:textId="77777777" w:rsidR="00C001F2" w:rsidRDefault="00C001F2">
      <w:pPr>
        <w:spacing w:after="0" w:line="240" w:lineRule="auto"/>
        <w:jc w:val="center"/>
        <w:rPr>
          <w:rFonts w:cs="Times New Roman"/>
          <w:b/>
          <w:color w:val="000000" w:themeColor="text1"/>
          <w:sz w:val="28"/>
          <w:szCs w:val="28"/>
        </w:rPr>
      </w:pPr>
    </w:p>
    <w:p w14:paraId="17CAD9D9" w14:textId="080211AB" w:rsidR="00701709" w:rsidRPr="009778A9" w:rsidRDefault="00252251">
      <w:pPr>
        <w:spacing w:after="0" w:line="240" w:lineRule="auto"/>
        <w:jc w:val="center"/>
        <w:rPr>
          <w:rFonts w:cs="Times New Roman"/>
          <w:color w:val="000000" w:themeColor="text1"/>
          <w:sz w:val="28"/>
          <w:szCs w:val="28"/>
        </w:rPr>
      </w:pPr>
      <w:r>
        <w:rPr>
          <w:rFonts w:cs="Times New Roman"/>
          <w:b/>
          <w:color w:val="000000" w:themeColor="text1"/>
          <w:sz w:val="28"/>
          <w:szCs w:val="28"/>
        </w:rPr>
        <w:t>BẢN ĐÁNH GIÁ</w:t>
      </w:r>
    </w:p>
    <w:p w14:paraId="08FEB97C" w14:textId="48811387" w:rsidR="000925D9" w:rsidRPr="005C1D99" w:rsidRDefault="00252251" w:rsidP="005C1D99">
      <w:pPr>
        <w:spacing w:after="0" w:line="240" w:lineRule="auto"/>
        <w:jc w:val="center"/>
        <w:rPr>
          <w:rFonts w:cs="Times New Roman"/>
          <w:b/>
          <w:bCs/>
          <w:color w:val="000000" w:themeColor="text1"/>
          <w:sz w:val="28"/>
          <w:szCs w:val="28"/>
        </w:rPr>
      </w:pPr>
      <w:r w:rsidRPr="005C1D99">
        <w:rPr>
          <w:b/>
          <w:bCs/>
          <w:iCs/>
          <w:spacing w:val="-2"/>
          <w:sz w:val="28"/>
          <w:szCs w:val="28"/>
        </w:rPr>
        <w:t>T</w:t>
      </w:r>
      <w:r w:rsidRPr="005C1D99">
        <w:rPr>
          <w:b/>
          <w:bCs/>
          <w:iCs/>
          <w:spacing w:val="-2"/>
          <w:sz w:val="28"/>
          <w:szCs w:val="28"/>
          <w:lang w:val="vi-VN"/>
        </w:rPr>
        <w:t>hủ tục hành chính, việc phân cấp nhiệm vụ, quyền hạn, việc ứng dụng, thúc đẩy, phát triển khoa học công nghệ, đổi mới sáng tạo và chuyển đổi số</w:t>
      </w:r>
    </w:p>
    <w:p w14:paraId="0C573094" w14:textId="0500B2B2" w:rsidR="005C1D99" w:rsidRDefault="005C1D99" w:rsidP="009778A9">
      <w:pPr>
        <w:spacing w:before="120" w:after="120" w:line="240" w:lineRule="auto"/>
        <w:ind w:firstLine="567"/>
        <w:jc w:val="both"/>
        <w:rPr>
          <w:rFonts w:cs="Times New Roman"/>
          <w:color w:val="000000" w:themeColor="text1"/>
          <w:sz w:val="28"/>
          <w:szCs w:val="28"/>
        </w:rPr>
      </w:pPr>
      <w:r>
        <w:rPr>
          <w:rFonts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06D41588" wp14:editId="6C4B821C">
                <wp:simplePos x="0" y="0"/>
                <wp:positionH relativeFrom="column">
                  <wp:posOffset>2253615</wp:posOffset>
                </wp:positionH>
                <wp:positionV relativeFrom="paragraph">
                  <wp:posOffset>73025</wp:posOffset>
                </wp:positionV>
                <wp:extent cx="1200150" cy="0"/>
                <wp:effectExtent l="38100" t="38100" r="76200" b="95250"/>
                <wp:wrapNone/>
                <wp:docPr id="404510580" name="Đường nối Thẳng 4"/>
                <wp:cNvGraphicFramePr/>
                <a:graphic xmlns:a="http://schemas.openxmlformats.org/drawingml/2006/main">
                  <a:graphicData uri="http://schemas.microsoft.com/office/word/2010/wordprocessingShape">
                    <wps:wsp>
                      <wps:cNvCnPr/>
                      <wps:spPr>
                        <a:xfrm>
                          <a:off x="0" y="0"/>
                          <a:ext cx="12001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0FC6C622" id="Đường nối Thẳng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7.45pt,5.75pt" to="271.9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" strokecolor="black [3200]" strokeweight="2pt">
                <v:shadow on="t" color="black" opacity="24903f" origin=",.5" offset="0,.55556mm"/>
              </v:line>
            </w:pict>
          </mc:Fallback>
        </mc:AlternateContent>
      </w:r>
    </w:p>
    <w:p w14:paraId="2F1E8E3C" w14:textId="279EA61B"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Việc ban hành Nghị định quy định về khu nông nghiệp ứng dụng công nghệ cao nhằm cụ thể hóa Điều 24 Luật Công nghệ cao số 133/2025/QH15, đồng thời thiết lập cơ sở pháp lý thống nhất cho việc thành lập, mở rộng, điều chỉnh, đầu tư xây dựng, tổ chức hoạt động và quản lý nhà nước đối với khu nông nghiệp ứng dụng công nghệ cao trên phạm vi cả nước. Dự thảo Nghị định phát sinh 04 thủ tục hành chính, gồm: (i) thành lập khu nông nghiệp ứng dụng công nghệ cao; (ii) mở rộng khu nông nghiệp ứng dụng công nghệ cao; (iii) điều chỉnh khu nông nghiệp ứng dụng công nghệ cao; và (iv) xác nhận dự án đầu tư đáp ứng tiêu chí thực hiện hoạt động công nghệ cao trong khu nông nghiệp ứng dụng công nghệ cao.</w:t>
      </w:r>
    </w:p>
    <w:p w14:paraId="42435283" w14:textId="3CE9B030"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Ba thủ tục đầu được thực hiện ở cấp tỉnh, do Ủy ban nhân dân cấp tỉnh quyết định trên cơ sở hồ sơ đề án và kết quả lấy ý kiến, đánh giá của các cơ quan liên quan. Thủ tục thứ tư do Ban quản lý khu nông nghiệp ứng dụng công nghệ cao thực hiện, áp dụng đối với nhà đầu tư có dự án thuộc đối tượng phải đáp ứng tiêu chí theo Điều 5 của Dự thảo Nghị định.</w:t>
      </w:r>
    </w:p>
    <w:p w14:paraId="2BC146B4" w14:textId="253EF504"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Xét về sự cần thiết, việc quy định các thủ tục hành chính nêu trên là phù hợp và cần thiết để bảo đảm việc thành lập, mở rộng, điều chỉnh khu nông nghiệp ứng dụng công nghệ cao và việc lựa chọn dự án đầu tư hoạt động trong khu được thực hiện có kiểm soát, đúng quy hoạch, đúng mục tiêu và đúng định hướng phát triển </w:t>
      </w:r>
      <w:r w:rsidR="00C62DED" w:rsidRPr="009778A9">
        <w:rPr>
          <w:rFonts w:cs="Times New Roman"/>
          <w:color w:val="000000" w:themeColor="text1"/>
          <w:sz w:val="28"/>
          <w:szCs w:val="28"/>
        </w:rPr>
        <w:t xml:space="preserve">của khu nông nghiệp ứng dụng </w:t>
      </w:r>
      <w:r w:rsidRPr="009778A9">
        <w:rPr>
          <w:rFonts w:cs="Times New Roman"/>
          <w:color w:val="000000" w:themeColor="text1"/>
          <w:sz w:val="28"/>
          <w:szCs w:val="28"/>
        </w:rPr>
        <w:t>công nghệ cao. Trong bối cảnh khu nông nghiệp ứng dụng công nghệ cao được hưởng nhiều cơ chế ưu đãi về đất đai, đầu tư, tài chính và hạ tầng, việc đặt ra quy trình xem xét, đánh giá, xác nhận chặt chẽ là cần thiết nhằm bảo đảm sử dụng hiệu quả nguồn lực nhà nước và nguồn lực xã hội.</w:t>
      </w:r>
    </w:p>
    <w:p w14:paraId="30C23C6F" w14:textId="7B4A6D52"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Về tính hợp pháp, các thủ tục được xây dựng trên cơ sở thẩm quyền giao cho Chính phủ quy định chi tiết Luật Công nghệ cao và phù hợp với nguyên tắc phân cấp quản lý cho địa phương. </w:t>
      </w:r>
    </w:p>
    <w:p w14:paraId="26954E62" w14:textId="69171E3B"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Về tác động chi phí tuân thủ, 03 thủ tục do Ủy ban nhân dân cấp tỉnh thực hiện chủ yếu làm phát sinh chi phí lập đề án, khảo sát, thu thập số liệu, thuê tư vấn, chuẩn bị hồ sơ kỹ thuật và chi phí thời gian của cơ quan nhà nước. Thủ tục xác nhận dự án đầu tư đáp ứng tiêu chí thực hiện hoạt động công nghệ cao phát sinh chi phí chuẩn bị hồ sơ, giải trình tiêu chí và chi phí thời gian tuân thủ của nhà đầu tư. </w:t>
      </w:r>
    </w:p>
    <w:p w14:paraId="62B37497" w14:textId="77777777" w:rsidR="009778A9" w:rsidRPr="009778A9" w:rsidRDefault="009778A9" w:rsidP="009778A9">
      <w:pPr>
        <w:spacing w:before="120" w:after="120" w:line="240" w:lineRule="auto"/>
        <w:jc w:val="center"/>
        <w:rPr>
          <w:rFonts w:cs="Times New Roman"/>
          <w:b/>
          <w:color w:val="000000" w:themeColor="text1"/>
          <w:sz w:val="28"/>
          <w:szCs w:val="28"/>
        </w:rPr>
      </w:pPr>
    </w:p>
    <w:p w14:paraId="48ECDA32" w14:textId="0F1CE615" w:rsidR="00701709" w:rsidRPr="009778A9" w:rsidRDefault="000925D9" w:rsidP="009778A9">
      <w:pPr>
        <w:spacing w:before="120" w:after="120" w:line="240" w:lineRule="auto"/>
        <w:jc w:val="center"/>
        <w:rPr>
          <w:rFonts w:cs="Times New Roman"/>
          <w:color w:val="000000" w:themeColor="text1"/>
          <w:sz w:val="28"/>
          <w:szCs w:val="28"/>
        </w:rPr>
      </w:pPr>
      <w:r w:rsidRPr="009778A9">
        <w:rPr>
          <w:rFonts w:cs="Times New Roman"/>
          <w:b/>
          <w:color w:val="000000" w:themeColor="text1"/>
          <w:sz w:val="28"/>
          <w:szCs w:val="28"/>
        </w:rPr>
        <w:lastRenderedPageBreak/>
        <w:t>BIỂU MẪU SỐ 01</w:t>
      </w:r>
    </w:p>
    <w:p w14:paraId="417B8CC7" w14:textId="77777777" w:rsidR="00701709" w:rsidRPr="009778A9" w:rsidRDefault="000925D9" w:rsidP="009778A9">
      <w:pPr>
        <w:spacing w:before="120" w:after="120" w:line="240" w:lineRule="auto"/>
        <w:jc w:val="center"/>
        <w:rPr>
          <w:rFonts w:cs="Times New Roman"/>
          <w:color w:val="000000" w:themeColor="text1"/>
          <w:sz w:val="28"/>
          <w:szCs w:val="28"/>
        </w:rPr>
      </w:pPr>
      <w:r w:rsidRPr="009778A9">
        <w:rPr>
          <w:rFonts w:cs="Times New Roman"/>
          <w:b/>
          <w:color w:val="000000" w:themeColor="text1"/>
          <w:sz w:val="28"/>
          <w:szCs w:val="28"/>
        </w:rPr>
        <w:t>ĐÁNH GIÁ TÁC ĐỘNG CỦA THỦ TỤC HÀNH CHÍNH</w:t>
      </w:r>
    </w:p>
    <w:p w14:paraId="3BD47540" w14:textId="198CB134" w:rsidR="00701709" w:rsidRPr="009778A9" w:rsidRDefault="000925D9" w:rsidP="009778A9">
      <w:pPr>
        <w:spacing w:before="120" w:after="120" w:line="240" w:lineRule="auto"/>
        <w:jc w:val="center"/>
        <w:rPr>
          <w:rFonts w:cs="Times New Roman"/>
          <w:i/>
          <w:color w:val="000000" w:themeColor="text1"/>
          <w:sz w:val="28"/>
          <w:szCs w:val="28"/>
        </w:rPr>
      </w:pPr>
      <w:r w:rsidRPr="009778A9">
        <w:rPr>
          <w:rFonts w:cs="Times New Roman"/>
          <w:i/>
          <w:color w:val="000000" w:themeColor="text1"/>
          <w:sz w:val="28"/>
          <w:szCs w:val="28"/>
        </w:rPr>
        <w:t>(Kèm theo Dự thảo Nghị định quy định về khu nông nghiệp ứng dụng công nghệ cao)</w:t>
      </w:r>
    </w:p>
    <w:p w14:paraId="4576E464" w14:textId="77777777" w:rsidR="009778A9" w:rsidRPr="009778A9" w:rsidRDefault="009778A9" w:rsidP="009778A9">
      <w:pPr>
        <w:spacing w:before="120" w:after="120" w:line="240" w:lineRule="auto"/>
        <w:jc w:val="center"/>
        <w:rPr>
          <w:rFonts w:cs="Times New Roman"/>
          <w:color w:val="000000" w:themeColor="text1"/>
          <w:sz w:val="28"/>
          <w:szCs w:val="28"/>
        </w:rPr>
      </w:pPr>
    </w:p>
    <w:p w14:paraId="60A2F29D" w14:textId="77777777" w:rsidR="00701709" w:rsidRPr="009778A9" w:rsidRDefault="000925D9" w:rsidP="009778A9">
      <w:pPr>
        <w:keepNext/>
        <w:spacing w:before="120" w:after="120" w:line="240" w:lineRule="auto"/>
        <w:jc w:val="both"/>
        <w:rPr>
          <w:rFonts w:cs="Times New Roman"/>
          <w:color w:val="000000" w:themeColor="text1"/>
          <w:sz w:val="28"/>
          <w:szCs w:val="28"/>
        </w:rPr>
      </w:pPr>
      <w:r w:rsidRPr="009778A9">
        <w:rPr>
          <w:rFonts w:cs="Times New Roman"/>
          <w:b/>
          <w:color w:val="000000" w:themeColor="text1"/>
          <w:sz w:val="28"/>
          <w:szCs w:val="28"/>
        </w:rPr>
        <w:t>I. THỦ TỤC HÀNH CHÍNH 1: Thành lập khu nông nghiệp ứng dụng công nghệ cao</w:t>
      </w:r>
    </w:p>
    <w:p w14:paraId="66424D1F" w14:textId="77777777" w:rsidR="00701709" w:rsidRPr="009778A9" w:rsidRDefault="000925D9" w:rsidP="009778A9">
      <w:pPr>
        <w:spacing w:before="120" w:after="120" w:line="240" w:lineRule="auto"/>
        <w:jc w:val="both"/>
        <w:rPr>
          <w:rFonts w:cs="Times New Roman"/>
          <w:color w:val="000000" w:themeColor="text1"/>
          <w:sz w:val="28"/>
          <w:szCs w:val="28"/>
        </w:rPr>
      </w:pPr>
      <w:r w:rsidRPr="009778A9">
        <w:rPr>
          <w:rFonts w:cs="Times New Roman"/>
          <w:b/>
          <w:color w:val="000000" w:themeColor="text1"/>
          <w:sz w:val="28"/>
          <w:szCs w:val="28"/>
        </w:rPr>
        <w:t>1. Mục tiêu của thủ tục hành chính</w:t>
      </w:r>
    </w:p>
    <w:p w14:paraId="1895812B" w14:textId="2AA00D56"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Xác lập cơ sở pháp lý cho việc thành lập khu nông nghiệp ứng dụng công nghệ cao.</w:t>
      </w:r>
    </w:p>
    <w:p w14:paraId="3A891F78" w14:textId="15260A12"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Bảo đảm khu được thành lập đáp ứng điều kiện về quy hoạch, hạ tầng, hạ tầng số, hạ tầng khoa học và công nghệ, nguồn lực và định hướng phát triển của địa phương.</w:t>
      </w:r>
    </w:p>
    <w:p w14:paraId="3989180F" w14:textId="5DFB1F48"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Nâng cao hiệu quả sử dụng đất, vốn đầu tư và các nguồn lực hỗ trợ của Nhà nước.</w:t>
      </w:r>
    </w:p>
    <w:p w14:paraId="5B6CCCA4" w14:textId="4688109E"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Tăng cường phân cấp cho địa phương gắn với trách nhiệm giải trình trong tổ chức phát triển khu nông nghiệp ứng dụng công nghệ cao.</w:t>
      </w:r>
    </w:p>
    <w:p w14:paraId="77F39D92" w14:textId="77777777" w:rsidR="00701709" w:rsidRPr="009778A9" w:rsidRDefault="000925D9" w:rsidP="009778A9">
      <w:pPr>
        <w:spacing w:before="120" w:after="120" w:line="240" w:lineRule="auto"/>
        <w:jc w:val="both"/>
        <w:rPr>
          <w:rFonts w:cs="Times New Roman"/>
          <w:color w:val="000000" w:themeColor="text1"/>
          <w:sz w:val="28"/>
          <w:szCs w:val="28"/>
        </w:rPr>
      </w:pPr>
      <w:r w:rsidRPr="009778A9">
        <w:rPr>
          <w:rFonts w:cs="Times New Roman"/>
          <w:b/>
          <w:color w:val="000000" w:themeColor="text1"/>
          <w:sz w:val="28"/>
          <w:szCs w:val="28"/>
        </w:rPr>
        <w:t>2. Nội dung cụ thể của thủ tục hành chính</w:t>
      </w:r>
    </w:p>
    <w:p w14:paraId="57F0DCC1"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(1) Tên thủ tục: Thành lập khu nông nghiệp ứng dụng công nghệ cao.</w:t>
      </w:r>
    </w:p>
    <w:p w14:paraId="4E51B58C"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(2) Đối tượng thực hiện: </w:t>
      </w:r>
      <w:r w:rsidR="00903CBB" w:rsidRPr="009778A9">
        <w:rPr>
          <w:rFonts w:cs="Times New Roman"/>
          <w:color w:val="000000" w:themeColor="text1"/>
          <w:sz w:val="28"/>
          <w:szCs w:val="28"/>
        </w:rPr>
        <w:t xml:space="preserve">Cơ quan, tổ chức được </w:t>
      </w:r>
      <w:r w:rsidRPr="009778A9">
        <w:rPr>
          <w:rFonts w:cs="Times New Roman"/>
          <w:color w:val="000000" w:themeColor="text1"/>
          <w:sz w:val="28"/>
          <w:szCs w:val="28"/>
        </w:rPr>
        <w:t>Ủy ban nhân dân cấp tỉnh.</w:t>
      </w:r>
    </w:p>
    <w:p w14:paraId="2FAEA91B"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(3) Cơ quan giải quyết: Ủy ban nhân dân cấp tỉnh.</w:t>
      </w:r>
    </w:p>
    <w:p w14:paraId="5A9A4434"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(4) Kết quả thực hiện: Quyết định thành lập khu nông nghiệp ứng dụng công nghệ cao.</w:t>
      </w:r>
    </w:p>
    <w:p w14:paraId="6B375F19" w14:textId="79D4BBEE"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(5) Thành phần hồ sơ: </w:t>
      </w:r>
    </w:p>
    <w:p w14:paraId="6CE725F4" w14:textId="1FE8DE49"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a) Tờ trình thành lập khu nông nghiệp ứng dụng công nghệ cao, theo mẫu 01: TT -NNCNC tại phụ lục ban hành kèm theo Nghị định;</w:t>
      </w:r>
    </w:p>
    <w:p w14:paraId="7AA7EAC3" w14:textId="43A469EA"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b) Đề án thành lập khu nông nghiệp ứng dụng công nghệ cao, theo mẫu 02: ĐA-NNCNC tại phụ lục ban hành kèm theo Nghị định;</w:t>
      </w:r>
    </w:p>
    <w:p w14:paraId="4648249D" w14:textId="44D08824"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(6) Trình tự thực hiện: </w:t>
      </w:r>
    </w:p>
    <w:p w14:paraId="1ACB2FAD" w14:textId="15801638"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a) Lập Đề án thành lập khu nông nghiệp ứng dụng công nghệ cao. Nội dung đề án theo quy định tại các khoản 5, 6 và 7 Điều 8 của Nghị định;</w:t>
      </w:r>
    </w:p>
    <w:p w14:paraId="7FF0AE26" w14:textId="77777777" w:rsidR="009679A1" w:rsidRPr="009778A9" w:rsidRDefault="009679A1"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b) Lấy ý kiến các cơ quan, tổ chức có liên quan. Trong thời hạn 15 ngày làm việc kể từ ngày nhận được văn bản lấy ý kiến và hồ sơ kèm theo, cơ quan, tổ chức được lấy ý kiến có trách nhiệm gửi ý kiến bằng văn bản đối với nội dung thuộc phạm vi, lĩnh vực quản lý nhà nước của mình;</w:t>
      </w:r>
    </w:p>
    <w:p w14:paraId="4F55F1BF" w14:textId="2871C248"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c) Cơ quan được </w:t>
      </w:r>
      <w:r w:rsidR="0082697C">
        <w:rPr>
          <w:rFonts w:cs="Times New Roman"/>
          <w:color w:val="000000" w:themeColor="text1"/>
          <w:sz w:val="28"/>
          <w:szCs w:val="28"/>
          <w:lang w:val="da-DK"/>
        </w:rPr>
        <w:t>UBND</w:t>
      </w:r>
      <w:r w:rsidRPr="009778A9">
        <w:rPr>
          <w:rFonts w:cs="Times New Roman"/>
          <w:color w:val="000000" w:themeColor="text1"/>
          <w:sz w:val="28"/>
          <w:szCs w:val="28"/>
          <w:lang w:val="da-DK"/>
        </w:rPr>
        <w:t xml:space="preserve"> cấp tỉnh giao lập Đề án tổ chức tiếp thu, hoàn thiện Đề án thành lập khu nông nghiệp ứng dụng công nghệ cao, trong thời gian 30 ngày;</w:t>
      </w:r>
    </w:p>
    <w:p w14:paraId="2F2815AA" w14:textId="2240B43A"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d) Tổ chức đánh giá Đề án theo quy định tại khoản 8 Điều 8, trong thời gian 10 ngày;</w:t>
      </w:r>
    </w:p>
    <w:p w14:paraId="2FD3D61A" w14:textId="274ED00A"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đ) Trên cơ sở kết quả đánh giá Đề án, trong thời gian 3 ngày, Ủy ban nhân dân cấp tỉnh quyết định thành lập khu nông nghiệp ứng dụng công nghệ cao.</w:t>
      </w:r>
    </w:p>
    <w:p w14:paraId="58B16F7A" w14:textId="131015CC"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(7) Thời hạn giải quyết: 5</w:t>
      </w:r>
      <w:r w:rsidR="00B87CBD" w:rsidRPr="009778A9">
        <w:rPr>
          <w:rFonts w:cs="Times New Roman"/>
          <w:color w:val="000000" w:themeColor="text1"/>
          <w:sz w:val="28"/>
          <w:szCs w:val="28"/>
        </w:rPr>
        <w:t>8</w:t>
      </w:r>
      <w:r w:rsidRPr="009778A9">
        <w:rPr>
          <w:rFonts w:cs="Times New Roman"/>
          <w:color w:val="000000" w:themeColor="text1"/>
          <w:sz w:val="28"/>
          <w:szCs w:val="28"/>
        </w:rPr>
        <w:t xml:space="preserve"> ngày</w:t>
      </w:r>
      <w:r w:rsidR="00B87CBD" w:rsidRPr="009778A9">
        <w:rPr>
          <w:rFonts w:cs="Times New Roman"/>
          <w:color w:val="000000" w:themeColor="text1"/>
          <w:sz w:val="28"/>
          <w:szCs w:val="28"/>
        </w:rPr>
        <w:t xml:space="preserve"> làm việc</w:t>
      </w:r>
      <w:r w:rsidRPr="009778A9">
        <w:rPr>
          <w:rFonts w:cs="Times New Roman"/>
          <w:color w:val="000000" w:themeColor="text1"/>
          <w:sz w:val="28"/>
          <w:szCs w:val="28"/>
        </w:rPr>
        <w:t>.</w:t>
      </w:r>
    </w:p>
    <w:p w14:paraId="2A0E905C"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3. Đánh giá tính hợp pháp</w:t>
      </w:r>
    </w:p>
    <w:p w14:paraId="0BC4E8A0"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Thủ tục được quy định trên cơ sở Điều 24 Luật Công nghệ cao và phù hợp với thẩm quyền của Chính phủ trong việc quy định chi tiết điều kiện, trình tự, thủ tục thành lập khu nông nghiệp ứng dụng công nghệ cao.</w:t>
      </w:r>
    </w:p>
    <w:p w14:paraId="1C1CF561"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Việc giao Ủy ban nhân dân cấp tỉnh quyết định thành lập khu là phù hợp với nguyên tắc phân cấp, phân quyền trong quản lý nhà nước ở địa phương.</w:t>
      </w:r>
    </w:p>
    <w:p w14:paraId="3EF6D71E"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4. Đánh giá tính hợp lý</w:t>
      </w:r>
    </w:p>
    <w:p w14:paraId="1EA76701" w14:textId="665A5CBA" w:rsidR="00701709" w:rsidRPr="009778A9" w:rsidRDefault="00202937"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Thành phần hồ sơ tương đối đầy đủ, bao quát các yếu tố cần thiết để đánh giá khả năng thành lập khu</w:t>
      </w:r>
      <w:r w:rsidR="009679A1" w:rsidRPr="009778A9">
        <w:rPr>
          <w:rFonts w:cs="Times New Roman"/>
          <w:color w:val="000000" w:themeColor="text1"/>
          <w:sz w:val="28"/>
          <w:szCs w:val="28"/>
        </w:rPr>
        <w:t xml:space="preserve"> nông nghiệp ứng dụng công nghệ cao;</w:t>
      </w:r>
    </w:p>
    <w:p w14:paraId="5801A3DB" w14:textId="748D2CED" w:rsidR="00903CBB" w:rsidRPr="009778A9" w:rsidRDefault="00903CBB"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Thời gian xử lý ở mức </w:t>
      </w:r>
      <w:r w:rsidR="00C62DED" w:rsidRPr="009778A9">
        <w:rPr>
          <w:rFonts w:cs="Times New Roman"/>
          <w:color w:val="000000" w:themeColor="text1"/>
          <w:sz w:val="28"/>
          <w:szCs w:val="28"/>
        </w:rPr>
        <w:t>thấp</w:t>
      </w:r>
      <w:r w:rsidRPr="009778A9">
        <w:rPr>
          <w:rFonts w:cs="Times New Roman"/>
          <w:color w:val="000000" w:themeColor="text1"/>
          <w:sz w:val="28"/>
          <w:szCs w:val="28"/>
        </w:rPr>
        <w:t>;</w:t>
      </w:r>
    </w:p>
    <w:p w14:paraId="51F7E3D2" w14:textId="77777777" w:rsidR="00903CBB" w:rsidRPr="009778A9" w:rsidRDefault="00903CBB"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Thủ tục không áp dụng trực tiếp cho doanh nghiệp nên không tạo gánh nặng cho khu vực tư nhân.</w:t>
      </w:r>
    </w:p>
    <w:p w14:paraId="4AEE78E2"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5. Đánh giá chi phí tuân thủ</w:t>
      </w:r>
    </w:p>
    <w:p w14:paraId="39A04B72" w14:textId="59C5D247" w:rsidR="0070170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Chi phí lập Đề án, khảo sát, thu thập số liệu, xây dựng phương án phát triển và huy động nguồn lực.</w:t>
      </w:r>
    </w:p>
    <w:p w14:paraId="557B29FB" w14:textId="26499B82" w:rsidR="0070170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Chi phí thuê tư vấn lập quy hoạch, lập bản đồ và hoàn thiện hồ sơ kỹ thuật.</w:t>
      </w:r>
    </w:p>
    <w:p w14:paraId="71066CA7" w14:textId="4AC91E56" w:rsidR="0070170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Chi phí thời gian của cơ quan nhà nước trong việc phối hợp, lấy ý kiến, đánh giá và hoàn thiện hồ sơ.</w:t>
      </w:r>
    </w:p>
    <w:p w14:paraId="1E834725" w14:textId="5A35B1EC" w:rsidR="0070170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 xml:space="preserve">Mức chi phí tuân thủ được đánh giá là </w:t>
      </w:r>
      <w:r w:rsidR="00C62DED" w:rsidRPr="009778A9">
        <w:rPr>
          <w:rFonts w:cs="Times New Roman"/>
          <w:color w:val="000000" w:themeColor="text1"/>
          <w:sz w:val="28"/>
          <w:szCs w:val="28"/>
          <w:lang w:val="da-DK"/>
        </w:rPr>
        <w:t>thấp</w:t>
      </w:r>
      <w:r w:rsidR="000925D9" w:rsidRPr="009778A9">
        <w:rPr>
          <w:rFonts w:cs="Times New Roman"/>
          <w:color w:val="000000" w:themeColor="text1"/>
          <w:sz w:val="28"/>
          <w:szCs w:val="28"/>
          <w:lang w:val="da-DK"/>
        </w:rPr>
        <w:t>, phù hợp với tính chất phức tạp và quy mô của thủ tục.</w:t>
      </w:r>
    </w:p>
    <w:p w14:paraId="2D4D0F50"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6. Tác động đối với các đối tượng liên quan</w:t>
      </w:r>
    </w:p>
    <w:p w14:paraId="005144BC" w14:textId="570659B0" w:rsidR="0070170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Đối với cơ quan nhà nước: tăng trách nhiệm thẩm định, phối hợp liên ngành và yêu cầu năng lực chuyên môn tổng hợp.</w:t>
      </w:r>
    </w:p>
    <w:p w14:paraId="48C69D83" w14:textId="38151CFF" w:rsidR="0070170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Đối với địa phương: tăng tính chủ động trong phát triển khu nông nghiệp ứng dụng công nghệ cao nhưng đòi hỏi năng lực chuẩn bị hồ sơ và tổ chức thực hiện cao.</w:t>
      </w:r>
    </w:p>
    <w:p w14:paraId="069593CB" w14:textId="12DDAAE9" w:rsidR="0070170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Đối với doanh nghiệp và nhà đầu tư: không phát sinh thủ tục trực tiếp, song gián tiếp hưởng lợi từ việc hình thành các khu có hạ tầng và cơ chế hoạt động rõ ràng.</w:t>
      </w:r>
    </w:p>
    <w:p w14:paraId="1D7C64B1" w14:textId="77777777" w:rsidR="00701709" w:rsidRPr="009778A9" w:rsidRDefault="000925D9" w:rsidP="009778A9">
      <w:pPr>
        <w:keepNext/>
        <w:spacing w:before="120" w:after="120" w:line="240" w:lineRule="auto"/>
        <w:jc w:val="both"/>
        <w:rPr>
          <w:rFonts w:cs="Times New Roman"/>
          <w:color w:val="000000" w:themeColor="text1"/>
          <w:sz w:val="28"/>
          <w:szCs w:val="28"/>
        </w:rPr>
      </w:pPr>
      <w:r w:rsidRPr="009778A9">
        <w:rPr>
          <w:rFonts w:cs="Times New Roman"/>
          <w:b/>
          <w:color w:val="000000" w:themeColor="text1"/>
          <w:sz w:val="28"/>
          <w:szCs w:val="28"/>
        </w:rPr>
        <w:t>II. THỦ TỤC HÀNH CHÍNH 2: Mở rộng khu nông nghiệp ứng dụng công nghệ cao</w:t>
      </w:r>
    </w:p>
    <w:p w14:paraId="482F9352" w14:textId="77777777" w:rsidR="00701709" w:rsidRPr="009778A9" w:rsidRDefault="000925D9" w:rsidP="009778A9">
      <w:pPr>
        <w:spacing w:before="120" w:after="120" w:line="240" w:lineRule="auto"/>
        <w:jc w:val="both"/>
        <w:rPr>
          <w:rFonts w:cs="Times New Roman"/>
          <w:color w:val="000000" w:themeColor="text1"/>
          <w:sz w:val="28"/>
          <w:szCs w:val="28"/>
        </w:rPr>
      </w:pPr>
      <w:r w:rsidRPr="009778A9">
        <w:rPr>
          <w:rFonts w:cs="Times New Roman"/>
          <w:b/>
          <w:color w:val="000000" w:themeColor="text1"/>
          <w:sz w:val="28"/>
          <w:szCs w:val="28"/>
        </w:rPr>
        <w:t>1. Mục tiêu của thủ tục hành chính</w:t>
      </w:r>
    </w:p>
    <w:p w14:paraId="64339365" w14:textId="799BC431" w:rsidR="0070170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Kiểm soát việc mở rộng khu nông nghiệp ứng dụng công nghệ cao theo đúng quy hoạch, định hướng phát triển và hiệu quả đầu tư.</w:t>
      </w:r>
    </w:p>
    <w:p w14:paraId="29AA6508" w14:textId="2C70C053" w:rsidR="0070170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Bảo đảm việc mở rộng chỉ được thực hiện khi khu hiện hữu đã khai thác hiệu quả và đáp ứng điều kiện theo quy định.</w:t>
      </w:r>
    </w:p>
    <w:p w14:paraId="08F2A77F" w14:textId="11DBFC5C" w:rsidR="0070170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Hạn chế tình trạng đầu tư dàn trải, mở rộng hình thức nhưng không bảo đảm khả năng vận hành và thu hút đầu tư.</w:t>
      </w:r>
    </w:p>
    <w:p w14:paraId="60106077" w14:textId="77777777" w:rsidR="00701709" w:rsidRPr="009778A9" w:rsidRDefault="000925D9" w:rsidP="009778A9">
      <w:pPr>
        <w:spacing w:before="120" w:after="120" w:line="240" w:lineRule="auto"/>
        <w:jc w:val="both"/>
        <w:rPr>
          <w:rFonts w:cs="Times New Roman"/>
          <w:color w:val="000000" w:themeColor="text1"/>
          <w:sz w:val="28"/>
          <w:szCs w:val="28"/>
        </w:rPr>
      </w:pPr>
      <w:r w:rsidRPr="009778A9">
        <w:rPr>
          <w:rFonts w:cs="Times New Roman"/>
          <w:b/>
          <w:color w:val="000000" w:themeColor="text1"/>
          <w:sz w:val="28"/>
          <w:szCs w:val="28"/>
        </w:rPr>
        <w:t>2. Nội dung cụ thể của thủ tục hành chính</w:t>
      </w:r>
    </w:p>
    <w:p w14:paraId="6F51B14F"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(1) Tên thủ tục: Mở rộng khu nông nghiệp ứng dụng công nghệ cao.</w:t>
      </w:r>
    </w:p>
    <w:p w14:paraId="2C0C1C1C"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(2) Đối tượng thực hiện: </w:t>
      </w:r>
      <w:r w:rsidR="00202937" w:rsidRPr="009778A9">
        <w:rPr>
          <w:rFonts w:cs="Times New Roman"/>
          <w:color w:val="000000" w:themeColor="text1"/>
          <w:sz w:val="28"/>
          <w:szCs w:val="28"/>
        </w:rPr>
        <w:t xml:space="preserve">Cơ quan, tổ chức được </w:t>
      </w:r>
      <w:r w:rsidRPr="009778A9">
        <w:rPr>
          <w:rFonts w:cs="Times New Roman"/>
          <w:color w:val="000000" w:themeColor="text1"/>
          <w:sz w:val="28"/>
          <w:szCs w:val="28"/>
        </w:rPr>
        <w:t>Ủy ban nhân dân cấp tỉnh.</w:t>
      </w:r>
    </w:p>
    <w:p w14:paraId="679F341D"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(3) Cơ quan giải quyết: Ủy ban nhân dân cấp tỉnh.</w:t>
      </w:r>
    </w:p>
    <w:p w14:paraId="619F237C"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(4) Kết quả thực hiện: Quyết định mở rộng khu nông nghiệp ứng dụng công nghệ cao.</w:t>
      </w:r>
    </w:p>
    <w:p w14:paraId="31213BEB" w14:textId="21C591F2"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(5) Thành phần hồ sơ: </w:t>
      </w:r>
    </w:p>
    <w:p w14:paraId="513C90AB" w14:textId="131F5C58"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a) Tờ trình mở rộng khu nông nghiệp ứng dụng công nghệ cao, theo mẫu 01: TT -NNCNC tại phụ lục ban hành kèm theo Nghị định;</w:t>
      </w:r>
    </w:p>
    <w:p w14:paraId="1B86E0BE" w14:textId="1D5D5093"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b) Đề án mở rộng khu nông nghiệp ứng dụng công nghệ cao, theo mẫu 02: ĐA-NNCNC tại phụ lục ban hành kèm theo Nghị định.</w:t>
      </w:r>
    </w:p>
    <w:p w14:paraId="6304611D" w14:textId="493EF9E2"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(6) Trình tự thực hiện: </w:t>
      </w:r>
    </w:p>
    <w:p w14:paraId="2FF63E1B" w14:textId="5A5B2AD5"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a) Lập Đề án mở rộng khu nông nghiệp ứng dụng công nghệ cao. Nội dung đề án theo quy định tại các khoản 5, 6 và 7 Điều 8;</w:t>
      </w:r>
    </w:p>
    <w:p w14:paraId="14B95F10" w14:textId="77777777" w:rsidR="009679A1" w:rsidRPr="009778A9" w:rsidRDefault="009679A1"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b) Lấy ý kiến các cơ quan, tổ chức có liên quan. Trong thời hạn 15 ngày làm việc kể từ ngày nhận được văn bản lấy ý kiến và hồ sơ kèm theo, cơ quan, tổ chức được lấy ý kiến có trách nhiệm gửi ý kiến bằng văn bản đối với nội dung thuộc phạm vi, lĩnh vực quản lý nhà nước của mình;</w:t>
      </w:r>
    </w:p>
    <w:p w14:paraId="2680A6B5" w14:textId="2C9A8C1D"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c) Cơ quan được </w:t>
      </w:r>
      <w:r w:rsidR="0082697C">
        <w:rPr>
          <w:rFonts w:cs="Times New Roman"/>
          <w:color w:val="000000" w:themeColor="text1"/>
          <w:sz w:val="28"/>
          <w:szCs w:val="28"/>
          <w:lang w:val="da-DK"/>
        </w:rPr>
        <w:t>UBND</w:t>
      </w:r>
      <w:r w:rsidRPr="009778A9">
        <w:rPr>
          <w:rFonts w:cs="Times New Roman"/>
          <w:color w:val="000000" w:themeColor="text1"/>
          <w:sz w:val="28"/>
          <w:szCs w:val="28"/>
          <w:lang w:val="da-DK"/>
        </w:rPr>
        <w:t xml:space="preserve"> cấp tỉnh giao lập Đề án tổ chức tiếp thu, hoàn thiện Đề án mở rộng khu nông nghiệp ứng dụng công nghệ cao, trong thời gian</w:t>
      </w:r>
      <w:r w:rsidR="009341A9">
        <w:rPr>
          <w:rFonts w:cs="Times New Roman"/>
          <w:color w:val="000000" w:themeColor="text1"/>
          <w:sz w:val="28"/>
          <w:szCs w:val="28"/>
          <w:lang w:val="vi-VN"/>
        </w:rPr>
        <w:t xml:space="preserve"> </w:t>
      </w:r>
      <w:r w:rsidRPr="009778A9">
        <w:rPr>
          <w:rFonts w:cs="Times New Roman"/>
          <w:color w:val="000000" w:themeColor="text1"/>
          <w:sz w:val="28"/>
          <w:szCs w:val="28"/>
          <w:lang w:val="da-DK"/>
        </w:rPr>
        <w:t>30 ngày;</w:t>
      </w:r>
    </w:p>
    <w:p w14:paraId="30882294" w14:textId="31A69711"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d) Tổ chức đánh giá Đề án theo quy định tại khoản 8 Điều 8, trong thời gian 10 ngày;</w:t>
      </w:r>
    </w:p>
    <w:p w14:paraId="71A363C6" w14:textId="5BCECB17" w:rsidR="009679A1" w:rsidRPr="009778A9" w:rsidRDefault="009679A1"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đ) Trên cơ sở kết quả đánh giá Đề án, trong thời gian 3 ngày, Ủy ban nhân dân cấp tỉnh quyết định mở rộng khu nông nghiệp ứng dụng công nghệ cao.</w:t>
      </w:r>
    </w:p>
    <w:p w14:paraId="714A77CB" w14:textId="7307F35C" w:rsidR="00B87CBD"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(7) Thời hạn giải quyết: </w:t>
      </w:r>
      <w:r w:rsidR="00B87CBD" w:rsidRPr="009778A9">
        <w:rPr>
          <w:rFonts w:cs="Times New Roman"/>
          <w:color w:val="000000" w:themeColor="text1"/>
          <w:sz w:val="28"/>
          <w:szCs w:val="28"/>
        </w:rPr>
        <w:t>58 ngày làm việc.</w:t>
      </w:r>
    </w:p>
    <w:p w14:paraId="59296CA5"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3. Đánh giá tính hợp pháp</w:t>
      </w:r>
    </w:p>
    <w:p w14:paraId="2539E882" w14:textId="71315FB6"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Thủ tục phù hợp với thẩm quyền của Chính phủ trong việc quy định điều kiện, trình tự, thủ tục mở rộng khu nông nghiệp ứng dụng công nghệ cao.</w:t>
      </w:r>
    </w:p>
    <w:p w14:paraId="399992A7" w14:textId="23D1E578"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Thẩm quyền quyết định của Ủy ban nhân dân cấp tỉnh bảo đảm phù hợp với mô hình quản lý nhà nước đối với khu trên địa bàn.</w:t>
      </w:r>
    </w:p>
    <w:p w14:paraId="1CD9ED6C"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4. Đánh giá tính hợp lý</w:t>
      </w:r>
    </w:p>
    <w:p w14:paraId="6F7608BF" w14:textId="4DC97B15"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Thành phần hồ sơ hợp lý hơn so với thủ tục thành lập do có bổ sung căn cứ đánh giá hiệu quả hoạt động của khu hiện hữu và điều kiện mở rộng.</w:t>
      </w:r>
    </w:p>
    <w:p w14:paraId="1E3A704A" w14:textId="68729BA2"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Yêu cầu về tỷ lệ lấp đầy là cần thiết để bảo đảm hiệu quả đầu tư, nhưng cần tiếp tục làm rõ cách xác định, nguồn số liệu và thời điểm tính.</w:t>
      </w:r>
    </w:p>
    <w:p w14:paraId="42F285BF" w14:textId="418BDFE8"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Tương tự thủ tục thành lập, dự thảo chưa quy định đầy đủ cách thức thực hiện, số lượng hồ sơ, mẫu biểu và thời hạn giải quyết tổng thể.</w:t>
      </w:r>
    </w:p>
    <w:p w14:paraId="6D01D96F" w14:textId="29860595"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Thủ tục không phát sinh gánh nặng trực tiếp cho doanh nghiệp.</w:t>
      </w:r>
    </w:p>
    <w:p w14:paraId="7AFF6A7C"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5. Đánh giá chi phí tuân thủ</w:t>
      </w:r>
    </w:p>
    <w:p w14:paraId="33A51E4B" w14:textId="157F7359"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Chi phí lập Đề án mở rộng và cập nhật hồ sơ kỹ thuật.</w:t>
      </w:r>
    </w:p>
    <w:p w14:paraId="6087F7D7" w14:textId="1895F3DD"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Chi phí tổng hợp, đánh giá hoạt động của khu hiện hữu và xác định tỷ lệ lấp đầy.</w:t>
      </w:r>
    </w:p>
    <w:p w14:paraId="5B3BCFB7" w14:textId="181A1574"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Chi phí phối hợp liên ngành và thời gian xử lý của cơ quan nhà nước.</w:t>
      </w:r>
    </w:p>
    <w:p w14:paraId="209C8CCE" w14:textId="45F7B3E3"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Mức chi phí tuân thủ được đánh giá thấp hơn thủ tục thành lập do đã có dữ liệu vận hành khu hiện hữu, nhưng vẫn ở mức đáng kể nếu phải thuê tư vấn độc lập.</w:t>
      </w:r>
    </w:p>
    <w:p w14:paraId="30D26ED6"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6. Tác động đối với các đối tượng liên quan</w:t>
      </w:r>
    </w:p>
    <w:p w14:paraId="13F2E3D5" w14:textId="68D83C81"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Đối với cơ quan nhà nước: tăng trách nhiệm kiểm tra hiệu quả khai thác khu hiện hữu trước khi quyết định mở rộng.</w:t>
      </w:r>
    </w:p>
    <w:p w14:paraId="681B1EEB" w14:textId="77EA8F9C"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Đối với địa phương: bảo đảm mở rộng khu có căn cứ thực tiễn, tránh đầu tư vượt nhu cầu.</w:t>
      </w:r>
    </w:p>
    <w:p w14:paraId="737E1494" w14:textId="60545647"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Đối với nhà đầu tư: gián tiếp có lợi do khu được mở rộng trên cơ sở điều kiện vận hành thực chất, qua đó nâng cao chất lượng môi trường đầu tư.</w:t>
      </w:r>
    </w:p>
    <w:p w14:paraId="4811F7CE" w14:textId="77777777" w:rsidR="00701709" w:rsidRPr="009778A9" w:rsidRDefault="000925D9" w:rsidP="009778A9">
      <w:pPr>
        <w:keepNext/>
        <w:spacing w:before="120" w:after="120" w:line="240" w:lineRule="auto"/>
        <w:rPr>
          <w:rFonts w:cs="Times New Roman"/>
          <w:color w:val="000000" w:themeColor="text1"/>
          <w:sz w:val="28"/>
          <w:szCs w:val="28"/>
        </w:rPr>
      </w:pPr>
      <w:r w:rsidRPr="009778A9">
        <w:rPr>
          <w:rFonts w:cs="Times New Roman"/>
          <w:b/>
          <w:color w:val="000000" w:themeColor="text1"/>
          <w:sz w:val="28"/>
          <w:szCs w:val="28"/>
        </w:rPr>
        <w:t>III. THỦ TỤC HÀNH CHÍNH 3: Điều chỉnh khu nông nghiệp ứng dụng công nghệ cao</w:t>
      </w:r>
    </w:p>
    <w:p w14:paraId="745C6E81"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1. Mục tiêu của thủ tục hành chính</w:t>
      </w:r>
    </w:p>
    <w:p w14:paraId="19082E72" w14:textId="5B5B5C70"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Kiểm soát việc điều chỉnh khu nông nghiệp ứng dụng công nghệ cao trong trường hợp thay đổi mục tiêu, nhiệm vụ, ngành, lĩnh vực ưu tiên, ranh giới hoặc diện tích khu.</w:t>
      </w:r>
    </w:p>
    <w:p w14:paraId="69EA8E53" w14:textId="2F69A241"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Bảo đảm việc điều chỉnh không làm phá vỡ tính đồng bộ của hạ tầng, định hướng phát triển và hiệu quả khai thác của khu.</w:t>
      </w:r>
    </w:p>
    <w:p w14:paraId="6662E7DB" w14:textId="616C9F21" w:rsidR="0070170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 </w:t>
      </w:r>
      <w:r w:rsidR="000925D9" w:rsidRPr="009778A9">
        <w:rPr>
          <w:rFonts w:cs="Times New Roman"/>
          <w:color w:val="000000" w:themeColor="text1"/>
          <w:sz w:val="28"/>
          <w:szCs w:val="28"/>
          <w:lang w:val="da-DK"/>
        </w:rPr>
        <w:t>Tạo cơ sở pháp lý cho địa phương xử lý các tình huống phát sinh trong quá trình phát triển khu.</w:t>
      </w:r>
    </w:p>
    <w:p w14:paraId="7B65B75D"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2. Nội dung cụ thể của thủ tục hành chính</w:t>
      </w:r>
    </w:p>
    <w:p w14:paraId="08385FD4"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(1) Tên thủ tục: Điều chỉnh khu nông nghiệp ứng dụng công nghệ cao.</w:t>
      </w:r>
    </w:p>
    <w:p w14:paraId="75C0F100" w14:textId="058AFBE3"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(2) Đối tượng thực hiện: </w:t>
      </w:r>
      <w:r w:rsidR="00202937" w:rsidRPr="009778A9">
        <w:rPr>
          <w:rFonts w:cs="Times New Roman"/>
          <w:color w:val="000000" w:themeColor="text1"/>
          <w:sz w:val="28"/>
          <w:szCs w:val="28"/>
        </w:rPr>
        <w:t xml:space="preserve">Cơ quan, tổ chức được </w:t>
      </w:r>
      <w:r w:rsidRPr="009778A9">
        <w:rPr>
          <w:rFonts w:cs="Times New Roman"/>
          <w:color w:val="000000" w:themeColor="text1"/>
          <w:sz w:val="28"/>
          <w:szCs w:val="28"/>
        </w:rPr>
        <w:t>Ủy ban nhân dân cấp tỉnh</w:t>
      </w:r>
      <w:r w:rsidR="00C41052">
        <w:rPr>
          <w:rFonts w:cs="Times New Roman"/>
          <w:color w:val="000000" w:themeColor="text1"/>
          <w:sz w:val="28"/>
          <w:szCs w:val="28"/>
          <w:lang w:val="vi-VN"/>
        </w:rPr>
        <w:t xml:space="preserve"> giao thực hiện</w:t>
      </w:r>
      <w:r w:rsidRPr="009778A9">
        <w:rPr>
          <w:rFonts w:cs="Times New Roman"/>
          <w:color w:val="000000" w:themeColor="text1"/>
          <w:sz w:val="28"/>
          <w:szCs w:val="28"/>
        </w:rPr>
        <w:t>.</w:t>
      </w:r>
    </w:p>
    <w:p w14:paraId="05EA748E" w14:textId="73018196"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(3) Cơ quan giải quyết: Ủy ban nhân dân cấp tỉnh</w:t>
      </w:r>
      <w:r w:rsidR="00C41052">
        <w:rPr>
          <w:rFonts w:cs="Times New Roman"/>
          <w:color w:val="000000" w:themeColor="text1"/>
          <w:sz w:val="28"/>
          <w:szCs w:val="28"/>
          <w:lang w:val="vi-VN"/>
        </w:rPr>
        <w:t xml:space="preserve"> giao thực hiện</w:t>
      </w:r>
      <w:r w:rsidRPr="009778A9">
        <w:rPr>
          <w:rFonts w:cs="Times New Roman"/>
          <w:color w:val="000000" w:themeColor="text1"/>
          <w:sz w:val="28"/>
          <w:szCs w:val="28"/>
        </w:rPr>
        <w:t>.</w:t>
      </w:r>
    </w:p>
    <w:p w14:paraId="0E862044"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(4) Kết quả thực hiện: Quyết định điều chỉnh khu nông nghiệp ứng dụng công nghệ cao.</w:t>
      </w:r>
    </w:p>
    <w:p w14:paraId="4A90786A" w14:textId="676F20F1"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(5) Thành phần hồ sơ: </w:t>
      </w:r>
    </w:p>
    <w:p w14:paraId="15F4C0C9" w14:textId="391901C8" w:rsidR="009778A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a) Tờ trình điều chỉnh khu nông nghiệp ứng dụng công nghệ cao, theo mẫu 01: TT -NNCNC tại phụ lục ban hành kèm theo Nghị định;</w:t>
      </w:r>
    </w:p>
    <w:p w14:paraId="69949A96" w14:textId="5CCBDD3B" w:rsidR="009778A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b) Đề án điều chỉnh khu nông nghiệp ứng dụng công nghệ cao, theo mẫu 02: ĐA-NNCNC tại phụ lục ban hành kèm theo Nghị định.</w:t>
      </w:r>
    </w:p>
    <w:p w14:paraId="23685EB0" w14:textId="6221E0FB"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(6) Trình tự thực hiện: </w:t>
      </w:r>
    </w:p>
    <w:p w14:paraId="7FB37A96" w14:textId="09F66214" w:rsidR="009778A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a) Lập Đề án điều chỉnh khu nông nghiệp ứng dụng công nghệ cao. Nội dung đề án theo quy định tại các khoản 5, 6 và 7 Điều 8;</w:t>
      </w:r>
    </w:p>
    <w:p w14:paraId="2372CAF9" w14:textId="77777777" w:rsidR="009778A9" w:rsidRPr="009778A9" w:rsidRDefault="009778A9" w:rsidP="009778A9">
      <w:pPr>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b) Lấy ý kiến các cơ quan, tổ chức có liên quan. Trong thời hạn 15 ngày làm việc kể từ ngày nhận được văn bản lấy ý kiến và hồ sơ kèm theo, cơ quan, tổ chức được lấy ý kiến có trách nhiệm gửi ý kiến bằng văn bản đối với nội dung thuộc phạm vi, lĩnh vực quản lý nhà nước của mình;</w:t>
      </w:r>
    </w:p>
    <w:p w14:paraId="05E17D50" w14:textId="2BC8FCAE" w:rsidR="009778A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 xml:space="preserve">c) Cơ quan được </w:t>
      </w:r>
      <w:r w:rsidR="0082697C">
        <w:rPr>
          <w:rFonts w:cs="Times New Roman"/>
          <w:color w:val="000000" w:themeColor="text1"/>
          <w:sz w:val="28"/>
          <w:szCs w:val="28"/>
          <w:lang w:val="da-DK"/>
        </w:rPr>
        <w:t>UBND</w:t>
      </w:r>
      <w:r w:rsidRPr="009778A9">
        <w:rPr>
          <w:rFonts w:cs="Times New Roman"/>
          <w:color w:val="000000" w:themeColor="text1"/>
          <w:sz w:val="28"/>
          <w:szCs w:val="28"/>
          <w:lang w:val="da-DK"/>
        </w:rPr>
        <w:t xml:space="preserve"> cấp tỉnh giao lập Đề án tổ chức tiếp thu, hoàn thiện Đề án điều chỉnh khu nông nghiệp ứng dụng công nghệ cao, trong thời gian 30 ngày;</w:t>
      </w:r>
    </w:p>
    <w:p w14:paraId="36912B26" w14:textId="211936B5" w:rsidR="009778A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d) Tổ chức đánh giá Đề án theo quy định tại khoản 8 Điều 8, trong thời gian 10 ngày;</w:t>
      </w:r>
    </w:p>
    <w:p w14:paraId="7A311669" w14:textId="5F5470C7" w:rsidR="009778A9" w:rsidRPr="009778A9" w:rsidRDefault="009778A9" w:rsidP="009778A9">
      <w:pPr>
        <w:tabs>
          <w:tab w:val="left" w:pos="6452"/>
        </w:tabs>
        <w:snapToGrid w:val="0"/>
        <w:spacing w:before="120" w:after="120" w:line="240" w:lineRule="auto"/>
        <w:ind w:firstLine="720"/>
        <w:jc w:val="both"/>
        <w:outlineLvl w:val="0"/>
        <w:rPr>
          <w:rFonts w:cs="Times New Roman"/>
          <w:color w:val="000000" w:themeColor="text1"/>
          <w:sz w:val="28"/>
          <w:szCs w:val="28"/>
          <w:lang w:val="da-DK"/>
        </w:rPr>
      </w:pPr>
      <w:r w:rsidRPr="009778A9">
        <w:rPr>
          <w:rFonts w:cs="Times New Roman"/>
          <w:color w:val="000000" w:themeColor="text1"/>
          <w:sz w:val="28"/>
          <w:szCs w:val="28"/>
          <w:lang w:val="da-DK"/>
        </w:rPr>
        <w:t>đ) Trên cơ sở kết quả đánh giá Đề án, trong thời gian 3 ngày, Ủy ban nhân dân cấp tỉnh quyết định điều chỉnh khu nông nghiệp ứng dụng công nghệ cao.</w:t>
      </w:r>
    </w:p>
    <w:p w14:paraId="1589DAA7" w14:textId="4C47A168" w:rsidR="00B87CBD"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(7) Thời hạn giải quyết: </w:t>
      </w:r>
      <w:r w:rsidR="00B87CBD" w:rsidRPr="009778A9">
        <w:rPr>
          <w:rFonts w:cs="Times New Roman"/>
          <w:color w:val="000000" w:themeColor="text1"/>
          <w:sz w:val="28"/>
          <w:szCs w:val="28"/>
        </w:rPr>
        <w:t>58 ngày làm việc.</w:t>
      </w:r>
    </w:p>
    <w:p w14:paraId="466090AA"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3. Đánh giá tính hợp pháp</w:t>
      </w:r>
    </w:p>
    <w:p w14:paraId="019AA566" w14:textId="131887DB"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Thủ tục phù hợp với yêu cầu quản lý nhà nước đối với khu nông nghiệp ứng dụng công nghệ cao trong quá trình vận hành và phát triển.</w:t>
      </w:r>
    </w:p>
    <w:p w14:paraId="24C7F327" w14:textId="12EE70A8"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Việc giao thẩm quyền cho Ủy ban nhân dân cấp tỉnh là phù hợp vì địa phương là cơ quan trực tiếp quản lý khu trên địa bàn.</w:t>
      </w:r>
    </w:p>
    <w:p w14:paraId="004485F6"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4. Đánh giá tính hợp lý</w:t>
      </w:r>
    </w:p>
    <w:p w14:paraId="5FD3DA9C" w14:textId="7336DBA1"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Việc yêu cầu đánh giá các yếu tố tác động và đánh giá hiện trạng khu là cần thiết để bảo đảm căn cứ điều chỉnh rõ ràng.</w:t>
      </w:r>
    </w:p>
    <w:p w14:paraId="06ABA07D" w14:textId="53D77A0C"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Thủ tục không tạo gánh nặng trực tiếp cho doanh nghiệp, nhưng ảnh hưởng gián tiếp đến môi trường đầu tư trong khu nếu quá trình điều chỉnh kéo dài.</w:t>
      </w:r>
    </w:p>
    <w:p w14:paraId="01389F00"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5. Đánh giá chi phí tuân thủ</w:t>
      </w:r>
    </w:p>
    <w:p w14:paraId="74387054" w14:textId="0EEC046E"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 xml:space="preserve">Chi phí rà soát hiện trạng khu </w:t>
      </w:r>
      <w:r w:rsidRPr="009778A9">
        <w:rPr>
          <w:rFonts w:cs="Times New Roman"/>
          <w:color w:val="000000" w:themeColor="text1"/>
          <w:sz w:val="28"/>
          <w:szCs w:val="28"/>
        </w:rPr>
        <w:t xml:space="preserve">nông nghiệp ứng dụng công nghệ cao </w:t>
      </w:r>
      <w:r w:rsidR="000925D9" w:rsidRPr="009778A9">
        <w:rPr>
          <w:rFonts w:cs="Times New Roman"/>
          <w:color w:val="000000" w:themeColor="text1"/>
          <w:sz w:val="28"/>
          <w:szCs w:val="28"/>
        </w:rPr>
        <w:t>và đánh giá tác động của nội dung điều chỉnh.</w:t>
      </w:r>
    </w:p>
    <w:p w14:paraId="343A4299" w14:textId="3DA11E17"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Chi phí lập Đề án điều chỉnh và hoàn thiện hồ sơ kỹ thuật, pháp lý liên quan.</w:t>
      </w:r>
    </w:p>
    <w:p w14:paraId="3A19C52B" w14:textId="13D49B01"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Chi phí thời gian của cơ quan quản lý và cơ quan phối hợp.</w:t>
      </w:r>
    </w:p>
    <w:p w14:paraId="09ADD772" w14:textId="042874C1"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C62DED" w:rsidRPr="009778A9">
        <w:rPr>
          <w:rFonts w:cs="Times New Roman"/>
          <w:color w:val="000000" w:themeColor="text1"/>
          <w:sz w:val="28"/>
          <w:szCs w:val="28"/>
        </w:rPr>
        <w:t>C</w:t>
      </w:r>
      <w:r w:rsidR="000925D9" w:rsidRPr="009778A9">
        <w:rPr>
          <w:rFonts w:cs="Times New Roman"/>
          <w:color w:val="000000" w:themeColor="text1"/>
          <w:sz w:val="28"/>
          <w:szCs w:val="28"/>
        </w:rPr>
        <w:t xml:space="preserve">hi phí tuân thủ ở mức </w:t>
      </w:r>
      <w:r w:rsidR="00C62DED" w:rsidRPr="009778A9">
        <w:rPr>
          <w:rFonts w:cs="Times New Roman"/>
          <w:color w:val="000000" w:themeColor="text1"/>
          <w:sz w:val="28"/>
          <w:szCs w:val="28"/>
        </w:rPr>
        <w:t>thấp so với yêu cầu về</w:t>
      </w:r>
      <w:r w:rsidR="000925D9" w:rsidRPr="009778A9">
        <w:rPr>
          <w:rFonts w:cs="Times New Roman"/>
          <w:color w:val="000000" w:themeColor="text1"/>
          <w:sz w:val="28"/>
          <w:szCs w:val="28"/>
        </w:rPr>
        <w:t xml:space="preserve"> phạm vi và mức độ điều chỉnh.</w:t>
      </w:r>
    </w:p>
    <w:p w14:paraId="6D2ED534"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6. Tác động đối với các đối tượng liên quan</w:t>
      </w:r>
    </w:p>
    <w:p w14:paraId="38B60CD9" w14:textId="2F73CC08"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Đối với cơ quan nhà nước: tăng trách nhiệm đánh giá tác động của việc điều chỉnh tới quy hoạch, hạ tầng và định hướng phát triển khu.</w:t>
      </w:r>
    </w:p>
    <w:p w14:paraId="3B17BC78" w14:textId="7587FC1A"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Đối với địa phương: tạo công cụ quản lý linh hoạt hơn, song đòi hỏi năng lực chuyên môn cao để tránh điều chỉnh tùy tiện.</w:t>
      </w:r>
    </w:p>
    <w:p w14:paraId="18A6270E" w14:textId="23AA5888"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Đối với nhà đầu tư: tác động gián tiếp thông qua thay đổi không gian phát triển, ngành nghề ưu tiên hoặc điều kiện vận hành của khu.</w:t>
      </w:r>
    </w:p>
    <w:p w14:paraId="70F5C7AB" w14:textId="77777777" w:rsidR="00701709" w:rsidRPr="009778A9" w:rsidRDefault="000925D9" w:rsidP="009778A9">
      <w:pPr>
        <w:keepNext/>
        <w:spacing w:before="120" w:after="120" w:line="240" w:lineRule="auto"/>
        <w:rPr>
          <w:rFonts w:cs="Times New Roman"/>
          <w:color w:val="000000" w:themeColor="text1"/>
          <w:sz w:val="28"/>
          <w:szCs w:val="28"/>
        </w:rPr>
      </w:pPr>
      <w:r w:rsidRPr="009778A9">
        <w:rPr>
          <w:rFonts w:cs="Times New Roman"/>
          <w:b/>
          <w:color w:val="000000" w:themeColor="text1"/>
          <w:sz w:val="28"/>
          <w:szCs w:val="28"/>
        </w:rPr>
        <w:t>IV. THỦ TỤC HÀNH CHÍNH 4: Xác nhận dự án đầu tư đáp ứng tiêu chí thực hiện hoạt động công nghệ cao trong khu nông nghiệp ứng dụng công nghệ cao</w:t>
      </w:r>
    </w:p>
    <w:p w14:paraId="1FF9D5BF"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1. Mục tiêu của thủ tục hành chính</w:t>
      </w:r>
    </w:p>
    <w:p w14:paraId="4E89C625" w14:textId="4FE9D1D6"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Bảo đảm các dự án đầu tư hoạt động trong khu nông nghiệp ứng dụng công nghệ cao đáp ứng đúng tiêu chí về hoạt động công nghệ cao theo Dự thảo Nghị định.</w:t>
      </w:r>
    </w:p>
    <w:p w14:paraId="16835768" w14:textId="716F66DA"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Tạo căn cứ cho Ban quản lý khu nông nghiệp ứng dụng công nghệ cao xem xét, xác nhận dự án trước khi nhà đầu tư ký hợp đồng thuê lại đất, thuê nhà xưởng, văn phòng, kho bãi trong khu.</w:t>
      </w:r>
    </w:p>
    <w:p w14:paraId="47BCDBB7" w14:textId="1859644F"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Nâng cao chất lượng thu hút đầu tư vào khu, tránh tình trạng dự án không phù hợp mục tiêu</w:t>
      </w:r>
      <w:r w:rsidR="00C62DED" w:rsidRPr="009778A9">
        <w:rPr>
          <w:rFonts w:cs="Times New Roman"/>
          <w:color w:val="000000" w:themeColor="text1"/>
          <w:sz w:val="28"/>
          <w:szCs w:val="28"/>
        </w:rPr>
        <w:t>,</w:t>
      </w:r>
      <w:r w:rsidR="000925D9" w:rsidRPr="009778A9">
        <w:rPr>
          <w:rFonts w:cs="Times New Roman"/>
          <w:color w:val="000000" w:themeColor="text1"/>
          <w:sz w:val="28"/>
          <w:szCs w:val="28"/>
        </w:rPr>
        <w:t xml:space="preserve"> chức năng</w:t>
      </w:r>
      <w:r w:rsidR="00C62DED" w:rsidRPr="009778A9">
        <w:rPr>
          <w:rFonts w:cs="Times New Roman"/>
          <w:color w:val="000000" w:themeColor="text1"/>
          <w:sz w:val="28"/>
          <w:szCs w:val="28"/>
        </w:rPr>
        <w:t xml:space="preserve"> và định hướng phát triển của khu</w:t>
      </w:r>
      <w:r w:rsidRPr="009778A9">
        <w:rPr>
          <w:rFonts w:cs="Times New Roman"/>
          <w:color w:val="000000" w:themeColor="text1"/>
          <w:sz w:val="28"/>
          <w:szCs w:val="28"/>
        </w:rPr>
        <w:t xml:space="preserve"> nông nghiệp ứng dụng công nghệ cao.</w:t>
      </w:r>
    </w:p>
    <w:p w14:paraId="3345D865"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2. Nội dung cụ thể của thủ tục hành chính</w:t>
      </w:r>
    </w:p>
    <w:p w14:paraId="198B5729"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(1) Tên thủ tục: Xác nhận dự án đầu tư đáp ứng tiêu chí thực hiện hoạt động công nghệ cao trong khu nông nghiệp ứng dụng công nghệ cao.</w:t>
      </w:r>
    </w:p>
    <w:p w14:paraId="119B89C7" w14:textId="62D91439"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(2) Đối tượng thực hiện: Nhà đầu tư thuộc đối tượng </w:t>
      </w:r>
      <w:r w:rsidR="00C62DED" w:rsidRPr="009778A9">
        <w:rPr>
          <w:rFonts w:cs="Times New Roman"/>
          <w:color w:val="000000" w:themeColor="text1"/>
          <w:sz w:val="28"/>
          <w:szCs w:val="28"/>
        </w:rPr>
        <w:t xml:space="preserve">hoạt động công nghệ cao </w:t>
      </w:r>
      <w:r w:rsidRPr="009778A9">
        <w:rPr>
          <w:rFonts w:cs="Times New Roman"/>
          <w:color w:val="000000" w:themeColor="text1"/>
          <w:sz w:val="28"/>
          <w:szCs w:val="28"/>
        </w:rPr>
        <w:t xml:space="preserve">quy định tại Điều </w:t>
      </w:r>
      <w:r w:rsidR="00C62DED" w:rsidRPr="009778A9">
        <w:rPr>
          <w:rFonts w:cs="Times New Roman"/>
          <w:color w:val="000000" w:themeColor="text1"/>
          <w:sz w:val="28"/>
          <w:szCs w:val="28"/>
        </w:rPr>
        <w:t>4 của Dự thảo Nghị định.</w:t>
      </w:r>
    </w:p>
    <w:p w14:paraId="17014E85"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(3) Cơ quan giải quyết: Ban quản lý khu nông nghiệp ứng dụng công nghệ cao.</w:t>
      </w:r>
    </w:p>
    <w:p w14:paraId="282DF2C6"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(4) Kết quả thực hiện: Văn bản xác nhận dự án đầu tư đáp ứng tiêu chí thực hiện hoạt động công nghệ cao trong khu nông nghiệp ứng dụng công nghệ cao hoặc văn bản thông báo không đáp ứng và nêu rõ lý do.</w:t>
      </w:r>
    </w:p>
    <w:p w14:paraId="05C76116" w14:textId="1EEC19A0"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(5) Thành phần hồ sơ: </w:t>
      </w:r>
    </w:p>
    <w:p w14:paraId="27ED891E" w14:textId="77777777" w:rsidR="009778A9" w:rsidRPr="009778A9" w:rsidRDefault="009778A9" w:rsidP="009778A9">
      <w:pPr>
        <w:spacing w:before="120" w:after="120" w:line="240" w:lineRule="auto"/>
        <w:ind w:firstLine="720"/>
        <w:jc w:val="both"/>
        <w:rPr>
          <w:rFonts w:cs="Times New Roman"/>
          <w:color w:val="000000" w:themeColor="text1"/>
          <w:sz w:val="28"/>
          <w:szCs w:val="28"/>
          <w:shd w:val="clear" w:color="auto" w:fill="FFFFFF"/>
          <w:lang w:val="da-DK"/>
        </w:rPr>
      </w:pPr>
      <w:r w:rsidRPr="009778A9">
        <w:rPr>
          <w:rFonts w:cs="Times New Roman"/>
          <w:color w:val="000000" w:themeColor="text1"/>
          <w:sz w:val="28"/>
          <w:szCs w:val="28"/>
          <w:shd w:val="clear" w:color="auto" w:fill="FFFFFF"/>
          <w:lang w:val="da-DK"/>
        </w:rPr>
        <w:t>a) Văn bản đề nghị xác nhận dự án đầu tư đáp ứng tiêu chí thực hiện hoạt động công nghệ cao trong khu nông nghiệp ứng dụng công nghệ cao;</w:t>
      </w:r>
    </w:p>
    <w:p w14:paraId="5EB202C3" w14:textId="77777777" w:rsidR="009778A9" w:rsidRPr="009778A9" w:rsidRDefault="009778A9" w:rsidP="009778A9">
      <w:pPr>
        <w:spacing w:before="120" w:after="120" w:line="240" w:lineRule="auto"/>
        <w:ind w:firstLine="720"/>
        <w:jc w:val="both"/>
        <w:rPr>
          <w:rFonts w:cs="Times New Roman"/>
          <w:color w:val="000000" w:themeColor="text1"/>
          <w:sz w:val="28"/>
          <w:szCs w:val="28"/>
          <w:shd w:val="clear" w:color="auto" w:fill="FFFFFF"/>
          <w:lang w:val="da-DK"/>
        </w:rPr>
      </w:pPr>
      <w:r w:rsidRPr="009778A9">
        <w:rPr>
          <w:rFonts w:cs="Times New Roman"/>
          <w:color w:val="000000" w:themeColor="text1"/>
          <w:sz w:val="28"/>
          <w:szCs w:val="28"/>
          <w:shd w:val="clear" w:color="auto" w:fill="FFFFFF"/>
          <w:lang w:val="da-DK"/>
        </w:rPr>
        <w:t>b) Tài liệu về tư cách pháp lý của nhà đầu tư (bản sao);</w:t>
      </w:r>
    </w:p>
    <w:p w14:paraId="6E20DBE3" w14:textId="1259AF60" w:rsidR="009778A9" w:rsidRPr="009778A9" w:rsidRDefault="009778A9" w:rsidP="009778A9">
      <w:pPr>
        <w:spacing w:before="120" w:after="120" w:line="240" w:lineRule="auto"/>
        <w:ind w:firstLine="720"/>
        <w:jc w:val="both"/>
        <w:rPr>
          <w:rFonts w:cs="Times New Roman"/>
          <w:color w:val="000000" w:themeColor="text1"/>
          <w:sz w:val="28"/>
          <w:szCs w:val="28"/>
          <w:shd w:val="clear" w:color="auto" w:fill="FFFFFF"/>
          <w:lang w:val="da-DK"/>
        </w:rPr>
      </w:pPr>
      <w:r w:rsidRPr="009778A9">
        <w:rPr>
          <w:rFonts w:cs="Times New Roman"/>
          <w:color w:val="000000" w:themeColor="text1"/>
          <w:sz w:val="28"/>
          <w:szCs w:val="28"/>
          <w:shd w:val="clear" w:color="auto" w:fill="FFFFFF"/>
          <w:lang w:val="da-DK"/>
        </w:rPr>
        <w:t>c) Thuyết minh dự án đầu tư, trong đó giải trình việc đáp ứng các tiêu chí tương ứng quy định tại Điều 5 Nghị định;</w:t>
      </w:r>
    </w:p>
    <w:p w14:paraId="7DA086A0" w14:textId="77777777" w:rsidR="009778A9" w:rsidRPr="009778A9" w:rsidRDefault="009778A9" w:rsidP="009778A9">
      <w:pPr>
        <w:spacing w:before="120" w:after="120" w:line="240" w:lineRule="auto"/>
        <w:ind w:firstLine="720"/>
        <w:jc w:val="both"/>
        <w:rPr>
          <w:rFonts w:cs="Times New Roman"/>
          <w:color w:val="000000" w:themeColor="text1"/>
          <w:sz w:val="28"/>
          <w:szCs w:val="28"/>
          <w:shd w:val="clear" w:color="auto" w:fill="FFFFFF"/>
          <w:lang w:val="da-DK"/>
        </w:rPr>
      </w:pPr>
      <w:r w:rsidRPr="009778A9">
        <w:rPr>
          <w:rFonts w:cs="Times New Roman"/>
          <w:color w:val="000000" w:themeColor="text1"/>
          <w:sz w:val="28"/>
          <w:szCs w:val="28"/>
          <w:shd w:val="clear" w:color="auto" w:fill="FFFFFF"/>
          <w:lang w:val="da-DK"/>
        </w:rPr>
        <w:t>d) Tài liệu khác (bản sao) có liên quan theo yêu cầu của loại hình dự án.</w:t>
      </w:r>
    </w:p>
    <w:p w14:paraId="4CE44396" w14:textId="2F132739"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(6) Trình tự thực hiện: </w:t>
      </w:r>
    </w:p>
    <w:p w14:paraId="5185602D" w14:textId="16EA9B0F" w:rsidR="009778A9" w:rsidRPr="009778A9" w:rsidRDefault="009778A9" w:rsidP="009778A9">
      <w:pPr>
        <w:spacing w:before="120" w:after="120" w:line="240" w:lineRule="auto"/>
        <w:ind w:firstLine="720"/>
        <w:jc w:val="both"/>
        <w:rPr>
          <w:rFonts w:cs="Times New Roman"/>
          <w:color w:val="000000" w:themeColor="text1"/>
          <w:sz w:val="28"/>
          <w:szCs w:val="28"/>
          <w:shd w:val="clear" w:color="auto" w:fill="FFFFFF"/>
          <w:lang w:val="da-DK"/>
        </w:rPr>
      </w:pPr>
      <w:r w:rsidRPr="009778A9">
        <w:rPr>
          <w:rFonts w:cs="Times New Roman"/>
          <w:color w:val="000000" w:themeColor="text1"/>
          <w:sz w:val="28"/>
          <w:szCs w:val="28"/>
          <w:shd w:val="clear" w:color="auto" w:fill="FFFFFF"/>
          <w:lang w:val="da-DK"/>
        </w:rPr>
        <w:t>- Trong thời hạn 02 ngày làm việc kể từ ngày nhận được hồ sơ, Ban quản lý khu nông nghiệp ứng dụng công nghệ cao kiểm tra tính đầy đủ, hợp lệ của hồ sơ; trường hợp hồ sơ chưa đầy đủ, hợp lệ thì thông báo một lần bằng văn bản để nhà đầu tư hoàn thiện hồ sơ.</w:t>
      </w:r>
    </w:p>
    <w:p w14:paraId="04C78C59" w14:textId="011E3C66" w:rsidR="009778A9" w:rsidRPr="009778A9" w:rsidRDefault="009778A9" w:rsidP="009778A9">
      <w:pPr>
        <w:spacing w:before="120" w:after="120" w:line="240" w:lineRule="auto"/>
        <w:ind w:firstLine="720"/>
        <w:jc w:val="both"/>
        <w:rPr>
          <w:rFonts w:cs="Times New Roman"/>
          <w:color w:val="000000" w:themeColor="text1"/>
          <w:sz w:val="28"/>
          <w:szCs w:val="28"/>
          <w:shd w:val="clear" w:color="auto" w:fill="FFFFFF"/>
          <w:lang w:val="da-DK"/>
        </w:rPr>
      </w:pPr>
      <w:r w:rsidRPr="009778A9">
        <w:rPr>
          <w:rFonts w:cs="Times New Roman"/>
          <w:color w:val="000000" w:themeColor="text1"/>
          <w:sz w:val="28"/>
          <w:szCs w:val="28"/>
          <w:shd w:val="clear" w:color="auto" w:fill="FFFFFF"/>
          <w:lang w:val="da-DK"/>
        </w:rPr>
        <w:t>- Trong quá trình đánh giá hồ sơ, Ban quản lý khu nông nghiệp ứng dụng công nghệ cao được lấy ý kiến cơ quan chuyên môn có liên quan đối với những nội dung thuộc phạm vi quản lý chuyên ngành khi cần thiết. Cơ quan chuyên môn được lấy ý kiến phải trả lời trong 10 ngày kể từ ngày nhận được văn bản lấy ý kiến.</w:t>
      </w:r>
    </w:p>
    <w:p w14:paraId="765FD851" w14:textId="1D1D12A4" w:rsidR="009778A9" w:rsidRPr="009778A9" w:rsidRDefault="009778A9" w:rsidP="009778A9">
      <w:pPr>
        <w:spacing w:before="120" w:after="120" w:line="240" w:lineRule="auto"/>
        <w:ind w:firstLine="720"/>
        <w:jc w:val="both"/>
        <w:rPr>
          <w:rFonts w:cs="Times New Roman"/>
          <w:color w:val="000000" w:themeColor="text1"/>
          <w:sz w:val="28"/>
          <w:szCs w:val="28"/>
          <w:shd w:val="clear" w:color="auto" w:fill="FFFFFF"/>
          <w:lang w:val="da-DK"/>
        </w:rPr>
      </w:pPr>
      <w:r w:rsidRPr="009778A9">
        <w:rPr>
          <w:rFonts w:cs="Times New Roman"/>
          <w:color w:val="000000" w:themeColor="text1"/>
          <w:sz w:val="28"/>
          <w:szCs w:val="28"/>
          <w:shd w:val="clear" w:color="auto" w:fill="FFFFFF"/>
          <w:lang w:val="da-DK"/>
        </w:rPr>
        <w:t>- Trong thời hạn 15 ngày kể từ ngày nhận đủ hồ sơ hợp lệ, Ban quản lý khu nông nghiệp ứng dụng công nghệ cao tổ chức đánh giá việc đáp ứng các tiêu chí quy định tại Điều 5 Nghị định.</w:t>
      </w:r>
    </w:p>
    <w:p w14:paraId="55FA9F26" w14:textId="3F86002A" w:rsidR="009778A9" w:rsidRPr="009778A9" w:rsidRDefault="009778A9" w:rsidP="009778A9">
      <w:pPr>
        <w:spacing w:before="120" w:after="120" w:line="240" w:lineRule="auto"/>
        <w:ind w:firstLine="720"/>
        <w:jc w:val="both"/>
        <w:rPr>
          <w:rFonts w:cs="Times New Roman"/>
          <w:color w:val="000000" w:themeColor="text1"/>
          <w:sz w:val="28"/>
          <w:szCs w:val="28"/>
          <w:shd w:val="clear" w:color="auto" w:fill="FFFFFF"/>
          <w:lang w:val="da-DK"/>
        </w:rPr>
      </w:pPr>
      <w:r w:rsidRPr="009778A9">
        <w:rPr>
          <w:rFonts w:cs="Times New Roman"/>
          <w:color w:val="000000" w:themeColor="text1"/>
          <w:sz w:val="28"/>
          <w:szCs w:val="28"/>
          <w:shd w:val="clear" w:color="auto" w:fill="FFFFFF"/>
          <w:lang w:val="da-DK"/>
        </w:rPr>
        <w:t>+ Trường hợp dự án đáp ứng yêu cầu, ban hành văn bản xác nhận dự án đầu tư đáp ứng tiêu chí thực hiện hoạt động công nghệ cao trong khu nông nghiệp ứng dụng công nghệ cao;</w:t>
      </w:r>
    </w:p>
    <w:p w14:paraId="0AB85B3C" w14:textId="1690C391" w:rsidR="009778A9" w:rsidRPr="009778A9" w:rsidRDefault="009778A9" w:rsidP="009778A9">
      <w:pPr>
        <w:spacing w:before="120" w:after="120" w:line="240" w:lineRule="auto"/>
        <w:ind w:firstLine="720"/>
        <w:jc w:val="both"/>
        <w:rPr>
          <w:rFonts w:cs="Times New Roman"/>
          <w:color w:val="000000" w:themeColor="text1"/>
          <w:sz w:val="28"/>
          <w:szCs w:val="28"/>
          <w:shd w:val="clear" w:color="auto" w:fill="FFFFFF"/>
          <w:lang w:val="da-DK"/>
        </w:rPr>
      </w:pPr>
      <w:r w:rsidRPr="009778A9">
        <w:rPr>
          <w:rFonts w:cs="Times New Roman"/>
          <w:color w:val="000000" w:themeColor="text1"/>
          <w:sz w:val="28"/>
          <w:szCs w:val="28"/>
          <w:shd w:val="clear" w:color="auto" w:fill="FFFFFF"/>
          <w:lang w:val="da-DK"/>
        </w:rPr>
        <w:t>+ Trường hợp dự án không đáp ứng yêu cầu, thông báo bằng văn bản cho nhà đầu tư, nêu rõ lý do.</w:t>
      </w:r>
    </w:p>
    <w:p w14:paraId="6C01ACFA" w14:textId="776A839A"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(7) Thời hạn giải quyết: </w:t>
      </w:r>
      <w:r w:rsidR="00B87CBD" w:rsidRPr="009778A9">
        <w:rPr>
          <w:rFonts w:cs="Times New Roman"/>
          <w:color w:val="000000" w:themeColor="text1"/>
          <w:sz w:val="28"/>
          <w:szCs w:val="28"/>
        </w:rPr>
        <w:t>27 ngày làm việc.</w:t>
      </w:r>
    </w:p>
    <w:p w14:paraId="1755EAB5"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3. Đánh giá tính hợp pháp</w:t>
      </w:r>
    </w:p>
    <w:p w14:paraId="5619ED35" w14:textId="2A5D1A40"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Thủ tục có cơ sở pháp lý rõ ràng trong Dự thảo Nghị định và gắn trực tiếp với việc thực hiện tiêu chí dự án đầu tư trong khu nông nghiệp ứng dụng công nghệ cao.</w:t>
      </w:r>
    </w:p>
    <w:p w14:paraId="3BADE0B9" w14:textId="2BD00076"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Thẩm quyền giải quyết giao cho Ban quản lý khu nông nghiệp ứng dụng công nghệ cao là phù hợp với chức năng quản lý trực tiếp đối với hoạt động đầu tư trong khu.</w:t>
      </w:r>
    </w:p>
    <w:p w14:paraId="5649BEA3"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4. Đánh giá tính hợp lý</w:t>
      </w:r>
    </w:p>
    <w:p w14:paraId="662356F1" w14:textId="70DF7A88"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Đây là thủ tục được thiết kế tương đối rõ trong dự thảo, có thành phần hồ sơ, trình tự, mốc thời gian xử lý và kết quả đầu ra cụ thể.</w:t>
      </w:r>
    </w:p>
    <w:p w14:paraId="74CB52AF" w14:textId="0A421B4E"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Việc áp dụng thủ tục chỉ trong trường hợp nội dung đáp ứng tiêu chí chưa được ghi nhận trong quyết định chấp thuận chủ trương đầu tư hoặc Giấy chứng nhận đăng ký đầu tư là hợp lý, tránh lặp lại không cần thiết.</w:t>
      </w:r>
    </w:p>
    <w:p w14:paraId="46F407B7" w14:textId="145EF26A"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Việc yêu cầu nộp hồ sơ trực tuyến là phù hợp định hướng cải cách hành chính và chuyển đổi số.</w:t>
      </w:r>
    </w:p>
    <w:p w14:paraId="1AD8C5B5"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5. Đánh giá chi phí tuân thủ</w:t>
      </w:r>
    </w:p>
    <w:p w14:paraId="09257C83" w14:textId="5BE52A4F"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Chi phí chuẩn bị hồ sơ, tài liệu pháp lý và thuyết minh dự án đầu tư.</w:t>
      </w:r>
    </w:p>
    <w:p w14:paraId="7E265333" w14:textId="4951D381"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Chi phí thời gian của nhà đầu tư để giải trình việc đáp ứng các tiêu chí theo Điều 5 của Dự thảo Nghị định.</w:t>
      </w:r>
    </w:p>
    <w:p w14:paraId="1F52D2C6" w14:textId="23F4548E"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Chi phí thời gian của Ban quản lý và cơ quan chuyên môn khi tham gia đánh giá, cho ý kiến.</w:t>
      </w:r>
    </w:p>
    <w:p w14:paraId="476CCA86" w14:textId="4C49860D"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Mức chi phí tuân thủ được đánh giá là hợp lý vì thủ tục chỉ áp dụng đối với dự án thuộc đối tượng cần xác nhận và có thời hạn giải quyết tương đối rõ.</w:t>
      </w:r>
    </w:p>
    <w:p w14:paraId="33A2534B"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6. Tác động đối với các đối tượng liên quan</w:t>
      </w:r>
    </w:p>
    <w:p w14:paraId="75622B33" w14:textId="4989B6F3"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Đối với cơ quan quản lý: tăng trách nhiệm sàng lọc, bảo đảm dự án vào khu phù hợp mục tiêu phát triển công nghệ cao.</w:t>
      </w:r>
    </w:p>
    <w:p w14:paraId="52204441" w14:textId="7F4AA208"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Đối với nhà đầu tư: phát sinh thêm một bước thủ tục trong trường hợp cần xác nhận, nhưng giúp tăng tính minh bạch và tạo căn cứ pháp lý rõ ràng khi thuê lại đất, nhà xưởng trong khu.</w:t>
      </w:r>
    </w:p>
    <w:p w14:paraId="3AE74DDA" w14:textId="736943A4" w:rsidR="00701709" w:rsidRPr="009778A9" w:rsidRDefault="009778A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 xml:space="preserve">- </w:t>
      </w:r>
      <w:r w:rsidR="000925D9" w:rsidRPr="009778A9">
        <w:rPr>
          <w:rFonts w:cs="Times New Roman"/>
          <w:color w:val="000000" w:themeColor="text1"/>
          <w:sz w:val="28"/>
          <w:szCs w:val="28"/>
        </w:rPr>
        <w:t>Đối với môi trường đầu tư của khu: góp phần nâng cao chất lượng dự án thu hút vào khu và bảo đảm tính chuyên biệt của khu nông nghiệp ứng dụng công nghệ cao.</w:t>
      </w:r>
    </w:p>
    <w:p w14:paraId="5F93AB84" w14:textId="77777777" w:rsidR="00701709" w:rsidRPr="009778A9" w:rsidRDefault="000925D9" w:rsidP="009778A9">
      <w:pPr>
        <w:spacing w:before="120" w:after="120" w:line="240" w:lineRule="auto"/>
        <w:rPr>
          <w:rFonts w:cs="Times New Roman"/>
          <w:color w:val="000000" w:themeColor="text1"/>
          <w:sz w:val="28"/>
          <w:szCs w:val="28"/>
        </w:rPr>
      </w:pPr>
      <w:r w:rsidRPr="009778A9">
        <w:rPr>
          <w:rFonts w:cs="Times New Roman"/>
          <w:b/>
          <w:color w:val="000000" w:themeColor="text1"/>
          <w:sz w:val="28"/>
          <w:szCs w:val="28"/>
        </w:rPr>
        <w:t>V. KẾT LUẬN CHUNG</w:t>
      </w:r>
    </w:p>
    <w:p w14:paraId="3F27C776"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Các thủ tục hành chính được quy định trong Dự thảo Nghị định là cần thiết, có cơ sở pháp lý và phù hợp với yêu cầu quản lý nhà nước đối với khu nông nghiệp ứng dụng công nghệ cao.</w:t>
      </w:r>
    </w:p>
    <w:p w14:paraId="741BD1E8" w14:textId="77777777" w:rsidR="00701709" w:rsidRPr="009778A9" w:rsidRDefault="000925D9" w:rsidP="009778A9">
      <w:pPr>
        <w:spacing w:before="120" w:after="120" w:line="240" w:lineRule="auto"/>
        <w:ind w:firstLine="567"/>
        <w:jc w:val="both"/>
        <w:rPr>
          <w:rFonts w:cs="Times New Roman"/>
          <w:color w:val="000000" w:themeColor="text1"/>
          <w:sz w:val="28"/>
          <w:szCs w:val="28"/>
        </w:rPr>
      </w:pPr>
      <w:r w:rsidRPr="009778A9">
        <w:rPr>
          <w:rFonts w:cs="Times New Roman"/>
          <w:color w:val="000000" w:themeColor="text1"/>
          <w:sz w:val="28"/>
          <w:szCs w:val="28"/>
        </w:rPr>
        <w:t>Ba thủ tục do Ủy ban nhân dân cấp tỉnh thực hiện chủ yếu tác động đến cơ quan nhà nước và địa phương trong giai đoạn chuẩn bị thành lập, mở rộng hoặc điều chỉnh khu; một thủ tục do Ban quản lý khu thực hiện tác động trực tiếp tới nhà đầu tư trong trường hợp cần xác nhận dự án đáp ứng tiêu chí hoạt động công nghệ cao.</w:t>
      </w:r>
    </w:p>
    <w:sectPr w:rsidR="00701709" w:rsidRPr="009778A9" w:rsidSect="001C0B24">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B7189" w14:textId="77777777" w:rsidR="00912DC9" w:rsidRDefault="00912DC9" w:rsidP="001C0B24">
      <w:pPr>
        <w:spacing w:after="0" w:line="240" w:lineRule="auto"/>
      </w:pPr>
      <w:r>
        <w:separator/>
      </w:r>
    </w:p>
  </w:endnote>
  <w:endnote w:type="continuationSeparator" w:id="0">
    <w:p w14:paraId="2374D54B" w14:textId="77777777" w:rsidR="00912DC9" w:rsidRDefault="00912DC9" w:rsidP="001C0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B8F2" w14:textId="77777777" w:rsidR="00912DC9" w:rsidRDefault="00912DC9" w:rsidP="001C0B24">
      <w:pPr>
        <w:spacing w:after="0" w:line="240" w:lineRule="auto"/>
      </w:pPr>
      <w:r>
        <w:separator/>
      </w:r>
    </w:p>
  </w:footnote>
  <w:footnote w:type="continuationSeparator" w:id="0">
    <w:p w14:paraId="33DCBCA9" w14:textId="77777777" w:rsidR="00912DC9" w:rsidRDefault="00912DC9" w:rsidP="001C0B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5225856"/>
      <w:docPartObj>
        <w:docPartGallery w:val="Page Numbers (Top of Page)"/>
        <w:docPartUnique/>
      </w:docPartObj>
    </w:sdtPr>
    <w:sdtEndPr>
      <w:rPr>
        <w:noProof/>
      </w:rPr>
    </w:sdtEndPr>
    <w:sdtContent>
      <w:p w14:paraId="2DDCDC2E" w14:textId="73454492" w:rsidR="001C0B24" w:rsidRDefault="001C0B24">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4BDAF035" w14:textId="77777777" w:rsidR="001C0B24" w:rsidRDefault="001C0B24">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udo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udo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Duudong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Duudong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udo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Duudong"/>
      <w:lvlText w:val=""/>
      <w:lvlJc w:val="left"/>
      <w:pPr>
        <w:tabs>
          <w:tab w:val="num" w:pos="360"/>
        </w:tabs>
        <w:ind w:left="360" w:hanging="360"/>
      </w:pPr>
      <w:rPr>
        <w:rFonts w:ascii="Symbol" w:hAnsi="Symbol" w:hint="default"/>
      </w:rPr>
    </w:lvl>
  </w:abstractNum>
  <w:num w:numId="1" w16cid:durableId="858397259">
    <w:abstractNumId w:val="8"/>
  </w:num>
  <w:num w:numId="2" w16cid:durableId="256058500">
    <w:abstractNumId w:val="6"/>
  </w:num>
  <w:num w:numId="3" w16cid:durableId="1032074666">
    <w:abstractNumId w:val="5"/>
  </w:num>
  <w:num w:numId="4" w16cid:durableId="75246986">
    <w:abstractNumId w:val="4"/>
  </w:num>
  <w:num w:numId="5" w16cid:durableId="1580167404">
    <w:abstractNumId w:val="7"/>
  </w:num>
  <w:num w:numId="6" w16cid:durableId="1182672095">
    <w:abstractNumId w:val="3"/>
  </w:num>
  <w:num w:numId="7" w16cid:durableId="1636447150">
    <w:abstractNumId w:val="2"/>
  </w:num>
  <w:num w:numId="8" w16cid:durableId="371152061">
    <w:abstractNumId w:val="1"/>
  </w:num>
  <w:num w:numId="9" w16cid:durableId="333263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0925D9"/>
    <w:rsid w:val="0015074B"/>
    <w:rsid w:val="001C0B24"/>
    <w:rsid w:val="00202937"/>
    <w:rsid w:val="00252251"/>
    <w:rsid w:val="0029639D"/>
    <w:rsid w:val="00326F90"/>
    <w:rsid w:val="00435DCE"/>
    <w:rsid w:val="004C7174"/>
    <w:rsid w:val="005C1D99"/>
    <w:rsid w:val="00701709"/>
    <w:rsid w:val="0082697C"/>
    <w:rsid w:val="00850D37"/>
    <w:rsid w:val="00903CBB"/>
    <w:rsid w:val="00912DC9"/>
    <w:rsid w:val="00921D8A"/>
    <w:rsid w:val="009341A9"/>
    <w:rsid w:val="00964532"/>
    <w:rsid w:val="009679A1"/>
    <w:rsid w:val="009778A9"/>
    <w:rsid w:val="009801C2"/>
    <w:rsid w:val="00A525DC"/>
    <w:rsid w:val="00AA1D8D"/>
    <w:rsid w:val="00B47730"/>
    <w:rsid w:val="00B87CBD"/>
    <w:rsid w:val="00BE3719"/>
    <w:rsid w:val="00C001F2"/>
    <w:rsid w:val="00C066C9"/>
    <w:rsid w:val="00C41052"/>
    <w:rsid w:val="00C52B25"/>
    <w:rsid w:val="00C62DED"/>
    <w:rsid w:val="00CB0664"/>
    <w:rsid w:val="00F778C6"/>
    <w:rsid w:val="00FC693F"/>
    <w:rsid w:val="00FE1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2BDD2"/>
  <w14:defaultImageDpi w14:val="300"/>
  <w15:docId w15:val="{F1C39898-6942-422A-B2D3-8825EDEF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C693F"/>
    <w:rPr>
      <w:rFonts w:ascii="Times New Roman" w:eastAsia="Times New Roman" w:hAnsi="Times New Roman"/>
      <w:sz w:val="26"/>
    </w:rPr>
  </w:style>
  <w:style w:type="paragraph" w:styleId="u1">
    <w:name w:val="heading 1"/>
    <w:basedOn w:val="Binhthng"/>
    <w:next w:val="Binhthng"/>
    <w:link w:val="u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u2">
    <w:name w:val="heading 2"/>
    <w:basedOn w:val="Binhthng"/>
    <w:next w:val="Binhthng"/>
    <w:link w:val="u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u3">
    <w:name w:val="heading 3"/>
    <w:basedOn w:val="Binhthng"/>
    <w:next w:val="Binhthng"/>
    <w:link w:val="u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u4">
    <w:name w:val="heading 4"/>
    <w:basedOn w:val="Binhthng"/>
    <w:next w:val="Binhthng"/>
    <w:link w:val="u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u5">
    <w:name w:val="heading 5"/>
    <w:basedOn w:val="Binhthng"/>
    <w:next w:val="Binhthng"/>
    <w:link w:val="u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u7">
    <w:name w:val="heading 7"/>
    <w:basedOn w:val="Binhthng"/>
    <w:next w:val="Binhthng"/>
    <w:link w:val="u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u8">
    <w:name w:val="heading 8"/>
    <w:basedOn w:val="Binhthng"/>
    <w:next w:val="Binhthng"/>
    <w:link w:val="u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u9">
    <w:name w:val="heading 9"/>
    <w:basedOn w:val="Binhthng"/>
    <w:next w:val="Binhthng"/>
    <w:link w:val="u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E618B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E618BF"/>
  </w:style>
  <w:style w:type="paragraph" w:styleId="Chntrang">
    <w:name w:val="footer"/>
    <w:basedOn w:val="Binhthng"/>
    <w:link w:val="ChntrangChar"/>
    <w:uiPriority w:val="99"/>
    <w:unhideWhenUsed/>
    <w:rsid w:val="00E618B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618BF"/>
  </w:style>
  <w:style w:type="paragraph" w:styleId="KhngDncch">
    <w:name w:val="No Spacing"/>
    <w:uiPriority w:val="1"/>
    <w:qFormat/>
    <w:rsid w:val="00FC693F"/>
    <w:pPr>
      <w:spacing w:after="0" w:line="240" w:lineRule="auto"/>
    </w:pPr>
  </w:style>
  <w:style w:type="character" w:customStyle="1" w:styleId="u1Char">
    <w:name w:val="Đầu đề 1 Char"/>
    <w:basedOn w:val="Phngmcinhcuaoanvn"/>
    <w:link w:va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u2Char">
    <w:name w:val="Đầu đề 2 Char"/>
    <w:basedOn w:val="Phngmcinhcuaoanvn"/>
    <w:link w:val="u2"/>
    <w:uiPriority w:val="9"/>
    <w:rsid w:val="00FC693F"/>
    <w:rPr>
      <w:rFonts w:asciiTheme="majorHAnsi" w:eastAsiaTheme="majorEastAsia" w:hAnsiTheme="majorHAnsi" w:cstheme="majorBidi"/>
      <w:b/>
      <w:bCs/>
      <w:color w:val="4F81BD" w:themeColor="accent1"/>
      <w:sz w:val="26"/>
      <w:szCs w:val="26"/>
    </w:rPr>
  </w:style>
  <w:style w:type="character" w:customStyle="1" w:styleId="u3Char">
    <w:name w:val="Đầu đề 3 Char"/>
    <w:basedOn w:val="Phngmcinhcuaoanvn"/>
    <w:link w:val="u3"/>
    <w:uiPriority w:val="9"/>
    <w:rsid w:val="00FC693F"/>
    <w:rPr>
      <w:rFonts w:asciiTheme="majorHAnsi" w:eastAsiaTheme="majorEastAsia" w:hAnsiTheme="majorHAnsi" w:cstheme="majorBidi"/>
      <w:b/>
      <w:bCs/>
      <w:color w:val="4F81BD" w:themeColor="accent1"/>
    </w:rPr>
  </w:style>
  <w:style w:type="paragraph" w:styleId="Tiu">
    <w:name w:val="Title"/>
    <w:basedOn w:val="Binhthng"/>
    <w:next w:val="Binhthng"/>
    <w:link w:val="Tiu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uChar">
    <w:name w:val="Tiêu đề Char"/>
    <w:basedOn w:val="Phngmcinhcuaoanvn"/>
    <w:link w:val="Ti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Tiuphu">
    <w:name w:val="Subtitle"/>
    <w:basedOn w:val="Binhthng"/>
    <w:next w:val="Binhthng"/>
    <w:link w:val="Tiuphu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TiuphuChar">
    <w:name w:val="Tiêu đề phụ Char"/>
    <w:basedOn w:val="Phngmcinhcuaoanvn"/>
    <w:link w:val="Tiuphu"/>
    <w:uiPriority w:val="11"/>
    <w:rsid w:val="00FC693F"/>
    <w:rPr>
      <w:rFonts w:asciiTheme="majorHAnsi" w:eastAsiaTheme="majorEastAsia" w:hAnsiTheme="majorHAnsi" w:cstheme="majorBidi"/>
      <w:i/>
      <w:iCs/>
      <w:color w:val="4F81BD" w:themeColor="accent1"/>
      <w:spacing w:val="15"/>
      <w:sz w:val="24"/>
      <w:szCs w:val="24"/>
    </w:rPr>
  </w:style>
  <w:style w:type="paragraph" w:styleId="oancuaDanhsach">
    <w:name w:val="List Paragraph"/>
    <w:basedOn w:val="Binhthng"/>
    <w:uiPriority w:val="34"/>
    <w:qFormat/>
    <w:rsid w:val="00FC693F"/>
    <w:pPr>
      <w:ind w:left="720"/>
      <w:contextualSpacing/>
    </w:pPr>
  </w:style>
  <w:style w:type="paragraph" w:styleId="ThnVnban">
    <w:name w:val="Body Text"/>
    <w:basedOn w:val="Binhthng"/>
    <w:link w:val="ThnVnbanChar"/>
    <w:uiPriority w:val="99"/>
    <w:unhideWhenUsed/>
    <w:rsid w:val="00AA1D8D"/>
    <w:pPr>
      <w:spacing w:after="120"/>
    </w:pPr>
  </w:style>
  <w:style w:type="character" w:customStyle="1" w:styleId="ThnVnbanChar">
    <w:name w:val="Thân Văn bản Char"/>
    <w:basedOn w:val="Phngmcinhcuaoanvn"/>
    <w:link w:val="ThnVnban"/>
    <w:uiPriority w:val="99"/>
    <w:rsid w:val="00AA1D8D"/>
  </w:style>
  <w:style w:type="paragraph" w:styleId="Thnvnban2">
    <w:name w:val="Body Text 2"/>
    <w:basedOn w:val="Binhthng"/>
    <w:link w:val="Thnvnban2Char"/>
    <w:uiPriority w:val="99"/>
    <w:unhideWhenUsed/>
    <w:rsid w:val="00AA1D8D"/>
    <w:pPr>
      <w:spacing w:after="120" w:line="480" w:lineRule="auto"/>
    </w:pPr>
  </w:style>
  <w:style w:type="character" w:customStyle="1" w:styleId="Thnvnban2Char">
    <w:name w:val="Thân văn bản 2 Char"/>
    <w:basedOn w:val="Phngmcinhcuaoanvn"/>
    <w:link w:val="Thnvnban2"/>
    <w:uiPriority w:val="99"/>
    <w:rsid w:val="00AA1D8D"/>
  </w:style>
  <w:style w:type="paragraph" w:styleId="Thnvnban3">
    <w:name w:val="Body Text 3"/>
    <w:basedOn w:val="Binhthng"/>
    <w:link w:val="Thnvnban3Char"/>
    <w:uiPriority w:val="99"/>
    <w:unhideWhenUsed/>
    <w:rsid w:val="00AA1D8D"/>
    <w:pPr>
      <w:spacing w:after="120"/>
    </w:pPr>
    <w:rPr>
      <w:sz w:val="16"/>
      <w:szCs w:val="16"/>
    </w:rPr>
  </w:style>
  <w:style w:type="character" w:customStyle="1" w:styleId="Thnvnban3Char">
    <w:name w:val="Thân văn bản 3 Char"/>
    <w:basedOn w:val="Phngmcinhcuaoanvn"/>
    <w:link w:val="Thnvnban3"/>
    <w:uiPriority w:val="99"/>
    <w:rsid w:val="00AA1D8D"/>
    <w:rPr>
      <w:sz w:val="16"/>
      <w:szCs w:val="16"/>
    </w:rPr>
  </w:style>
  <w:style w:type="paragraph" w:styleId="Danhsach">
    <w:name w:val="List"/>
    <w:basedOn w:val="Binhthng"/>
    <w:uiPriority w:val="99"/>
    <w:unhideWhenUsed/>
    <w:rsid w:val="00AA1D8D"/>
    <w:pPr>
      <w:ind w:left="360" w:hanging="360"/>
      <w:contextualSpacing/>
    </w:pPr>
  </w:style>
  <w:style w:type="paragraph" w:styleId="Danhsach2">
    <w:name w:val="List 2"/>
    <w:basedOn w:val="Binhthng"/>
    <w:uiPriority w:val="99"/>
    <w:unhideWhenUsed/>
    <w:rsid w:val="00326F90"/>
    <w:pPr>
      <w:ind w:left="720" w:hanging="360"/>
      <w:contextualSpacing/>
    </w:pPr>
  </w:style>
  <w:style w:type="paragraph" w:styleId="Danhsach3">
    <w:name w:val="List 3"/>
    <w:basedOn w:val="Binhthng"/>
    <w:uiPriority w:val="99"/>
    <w:unhideWhenUsed/>
    <w:rsid w:val="00326F90"/>
    <w:pPr>
      <w:ind w:left="1080" w:hanging="360"/>
      <w:contextualSpacing/>
    </w:pPr>
  </w:style>
  <w:style w:type="paragraph" w:styleId="Duudong">
    <w:name w:val="List Bullet"/>
    <w:basedOn w:val="Binhthng"/>
    <w:uiPriority w:val="99"/>
    <w:unhideWhenUsed/>
    <w:rsid w:val="00326F90"/>
    <w:pPr>
      <w:numPr>
        <w:numId w:val="1"/>
      </w:numPr>
      <w:contextualSpacing/>
    </w:pPr>
  </w:style>
  <w:style w:type="paragraph" w:styleId="Duudong2">
    <w:name w:val="List Bullet 2"/>
    <w:basedOn w:val="Binhthng"/>
    <w:uiPriority w:val="99"/>
    <w:unhideWhenUsed/>
    <w:rsid w:val="00326F90"/>
    <w:pPr>
      <w:numPr>
        <w:numId w:val="2"/>
      </w:numPr>
      <w:contextualSpacing/>
    </w:pPr>
  </w:style>
  <w:style w:type="paragraph" w:styleId="Duudong3">
    <w:name w:val="List Bullet 3"/>
    <w:basedOn w:val="Binhthng"/>
    <w:uiPriority w:val="99"/>
    <w:unhideWhenUsed/>
    <w:rsid w:val="00326F90"/>
    <w:pPr>
      <w:numPr>
        <w:numId w:val="3"/>
      </w:numPr>
      <w:contextualSpacing/>
    </w:pPr>
  </w:style>
  <w:style w:type="paragraph" w:styleId="Sudong">
    <w:name w:val="List Number"/>
    <w:basedOn w:val="Binhthng"/>
    <w:uiPriority w:val="99"/>
    <w:unhideWhenUsed/>
    <w:rsid w:val="00326F90"/>
    <w:pPr>
      <w:numPr>
        <w:numId w:val="5"/>
      </w:numPr>
      <w:contextualSpacing/>
    </w:pPr>
  </w:style>
  <w:style w:type="paragraph" w:styleId="Sudong2">
    <w:name w:val="List Number 2"/>
    <w:basedOn w:val="Binhthng"/>
    <w:uiPriority w:val="99"/>
    <w:unhideWhenUsed/>
    <w:rsid w:val="0029639D"/>
    <w:pPr>
      <w:numPr>
        <w:numId w:val="6"/>
      </w:numPr>
      <w:tabs>
        <w:tab w:val="clear" w:pos="720"/>
        <w:tab w:val="num" w:pos="360"/>
      </w:tabs>
      <w:ind w:left="0" w:firstLine="0"/>
      <w:contextualSpacing/>
    </w:pPr>
  </w:style>
  <w:style w:type="paragraph" w:styleId="Sudong3">
    <w:name w:val="List Number 3"/>
    <w:basedOn w:val="Binhthng"/>
    <w:uiPriority w:val="99"/>
    <w:unhideWhenUsed/>
    <w:rsid w:val="0029639D"/>
    <w:pPr>
      <w:numPr>
        <w:numId w:val="7"/>
      </w:numPr>
      <w:contextualSpacing/>
    </w:pPr>
  </w:style>
  <w:style w:type="paragraph" w:styleId="Danhsachlintuc">
    <w:name w:val="List Continue"/>
    <w:basedOn w:val="Binhthng"/>
    <w:uiPriority w:val="99"/>
    <w:unhideWhenUsed/>
    <w:rsid w:val="0029639D"/>
    <w:pPr>
      <w:spacing w:after="120"/>
      <w:ind w:left="360"/>
      <w:contextualSpacing/>
    </w:pPr>
  </w:style>
  <w:style w:type="paragraph" w:styleId="Danhsachlintuc2">
    <w:name w:val="List Continue 2"/>
    <w:basedOn w:val="Binhthng"/>
    <w:uiPriority w:val="99"/>
    <w:unhideWhenUsed/>
    <w:rsid w:val="0029639D"/>
    <w:pPr>
      <w:spacing w:after="120"/>
      <w:ind w:left="720"/>
      <w:contextualSpacing/>
    </w:pPr>
  </w:style>
  <w:style w:type="paragraph" w:styleId="Danhsachlintuc3">
    <w:name w:val="List Continue 3"/>
    <w:basedOn w:val="Binhthng"/>
    <w:uiPriority w:val="99"/>
    <w:unhideWhenUsed/>
    <w:rsid w:val="0029639D"/>
    <w:pPr>
      <w:spacing w:after="120"/>
      <w:ind w:left="1080"/>
      <w:contextualSpacing/>
    </w:pPr>
  </w:style>
  <w:style w:type="paragraph" w:styleId="VnbanMacro">
    <w:name w:val="macro"/>
    <w:link w:val="Vnban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VnbanMacroChar">
    <w:name w:val="Văn bản Macro Char"/>
    <w:basedOn w:val="Phngmcinhcuaoanvn"/>
    <w:link w:val="VnbanMacro"/>
    <w:uiPriority w:val="99"/>
    <w:rsid w:val="0029639D"/>
    <w:rPr>
      <w:rFonts w:ascii="Courier" w:hAnsi="Courier"/>
      <w:sz w:val="20"/>
      <w:szCs w:val="20"/>
    </w:rPr>
  </w:style>
  <w:style w:type="paragraph" w:styleId="Litrichdn">
    <w:name w:val="Quote"/>
    <w:basedOn w:val="Binhthng"/>
    <w:next w:val="Binhthng"/>
    <w:link w:val="LitrichdnChar"/>
    <w:uiPriority w:val="29"/>
    <w:qFormat/>
    <w:rsid w:val="00FC693F"/>
    <w:rPr>
      <w:i/>
      <w:iCs/>
      <w:color w:val="000000" w:themeColor="text1"/>
    </w:rPr>
  </w:style>
  <w:style w:type="character" w:customStyle="1" w:styleId="LitrichdnChar">
    <w:name w:val="Lời trích dẫn Char"/>
    <w:basedOn w:val="Phngmcinhcuaoanvn"/>
    <w:link w:val="Litrichdn"/>
    <w:uiPriority w:val="29"/>
    <w:rsid w:val="00FC693F"/>
    <w:rPr>
      <w:i/>
      <w:iCs/>
      <w:color w:val="000000" w:themeColor="text1"/>
    </w:rPr>
  </w:style>
  <w:style w:type="character" w:customStyle="1" w:styleId="u4Char">
    <w:name w:val="Đầu đề 4 Char"/>
    <w:basedOn w:val="Phngmcinhcuaoanvn"/>
    <w:link w:val="u4"/>
    <w:uiPriority w:val="9"/>
    <w:semiHidden/>
    <w:rsid w:val="00FC693F"/>
    <w:rPr>
      <w:rFonts w:asciiTheme="majorHAnsi" w:eastAsiaTheme="majorEastAsia" w:hAnsiTheme="majorHAnsi" w:cstheme="majorBidi"/>
      <w:b/>
      <w:bCs/>
      <w:i/>
      <w:iCs/>
      <w:color w:val="4F81BD" w:themeColor="accent1"/>
    </w:rPr>
  </w:style>
  <w:style w:type="character" w:customStyle="1" w:styleId="u5Char">
    <w:name w:val="Đầu đề 5 Char"/>
    <w:basedOn w:val="Phngmcinhcuaoanvn"/>
    <w:link w:val="u5"/>
    <w:uiPriority w:val="9"/>
    <w:semiHidden/>
    <w:rsid w:val="00FC693F"/>
    <w:rPr>
      <w:rFonts w:asciiTheme="majorHAnsi" w:eastAsiaTheme="majorEastAsia" w:hAnsiTheme="majorHAnsi" w:cstheme="majorBidi"/>
      <w:color w:val="243F60" w:themeColor="accent1" w:themeShade="7F"/>
    </w:rPr>
  </w:style>
  <w:style w:type="character" w:customStyle="1" w:styleId="u6Char">
    <w:name w:val="Đầu đề 6 Char"/>
    <w:basedOn w:val="Phngmcinhcuaoanvn"/>
    <w:link w:val="u6"/>
    <w:uiPriority w:val="9"/>
    <w:semiHidden/>
    <w:rsid w:val="00FC693F"/>
    <w:rPr>
      <w:rFonts w:asciiTheme="majorHAnsi" w:eastAsiaTheme="majorEastAsia" w:hAnsiTheme="majorHAnsi" w:cstheme="majorBidi"/>
      <w:i/>
      <w:iCs/>
      <w:color w:val="243F60" w:themeColor="accent1" w:themeShade="7F"/>
    </w:rPr>
  </w:style>
  <w:style w:type="character" w:customStyle="1" w:styleId="u7Char">
    <w:name w:val="Đầu đề 7 Char"/>
    <w:basedOn w:val="Phngmcinhcuaoanvn"/>
    <w:link w:val="u7"/>
    <w:uiPriority w:val="9"/>
    <w:semiHidden/>
    <w:rsid w:val="00FC693F"/>
    <w:rPr>
      <w:rFonts w:asciiTheme="majorHAnsi" w:eastAsiaTheme="majorEastAsia" w:hAnsiTheme="majorHAnsi" w:cstheme="majorBidi"/>
      <w:i/>
      <w:iCs/>
      <w:color w:val="404040" w:themeColor="text1" w:themeTint="BF"/>
    </w:rPr>
  </w:style>
  <w:style w:type="character" w:customStyle="1" w:styleId="u8Char">
    <w:name w:val="Đầu đề 8 Char"/>
    <w:basedOn w:val="Phngmcinhcuaoanvn"/>
    <w:link w:val="u8"/>
    <w:uiPriority w:val="9"/>
    <w:semiHidden/>
    <w:rsid w:val="00FC693F"/>
    <w:rPr>
      <w:rFonts w:asciiTheme="majorHAnsi" w:eastAsiaTheme="majorEastAsia" w:hAnsiTheme="majorHAnsi" w:cstheme="majorBidi"/>
      <w:color w:val="4F81BD" w:themeColor="accent1"/>
      <w:sz w:val="20"/>
      <w:szCs w:val="20"/>
    </w:rPr>
  </w:style>
  <w:style w:type="character" w:customStyle="1" w:styleId="u9Char">
    <w:name w:val="Đầu đề 9 Char"/>
    <w:basedOn w:val="Phngmcinhcuaoanvn"/>
    <w:link w:val="u9"/>
    <w:uiPriority w:val="9"/>
    <w:semiHidden/>
    <w:rsid w:val="00FC693F"/>
    <w:rPr>
      <w:rFonts w:asciiTheme="majorHAnsi" w:eastAsiaTheme="majorEastAsia" w:hAnsiTheme="majorHAnsi" w:cstheme="majorBidi"/>
      <w:i/>
      <w:iCs/>
      <w:color w:val="404040" w:themeColor="text1" w:themeTint="BF"/>
      <w:sz w:val="20"/>
      <w:szCs w:val="20"/>
    </w:rPr>
  </w:style>
  <w:style w:type="paragraph" w:styleId="Chuthich">
    <w:name w:val="caption"/>
    <w:basedOn w:val="Binhthng"/>
    <w:next w:val="Binhthng"/>
    <w:uiPriority w:val="35"/>
    <w:semiHidden/>
    <w:unhideWhenUsed/>
    <w:qFormat/>
    <w:rsid w:val="00FC693F"/>
    <w:pPr>
      <w:spacing w:line="240" w:lineRule="auto"/>
    </w:pPr>
    <w:rPr>
      <w:b/>
      <w:bCs/>
      <w:color w:val="4F81BD" w:themeColor="accent1"/>
      <w:sz w:val="18"/>
      <w:szCs w:val="18"/>
    </w:rPr>
  </w:style>
  <w:style w:type="character" w:styleId="Manh">
    <w:name w:val="Strong"/>
    <w:basedOn w:val="Phngmcinhcuaoanvn"/>
    <w:uiPriority w:val="22"/>
    <w:qFormat/>
    <w:rsid w:val="00FC693F"/>
    <w:rPr>
      <w:b/>
      <w:bCs/>
    </w:rPr>
  </w:style>
  <w:style w:type="character" w:styleId="Nhnmanh">
    <w:name w:val="Emphasis"/>
    <w:basedOn w:val="Phngmcinhcuaoanvn"/>
    <w:uiPriority w:val="20"/>
    <w:qFormat/>
    <w:rsid w:val="00FC693F"/>
    <w:rPr>
      <w:i/>
      <w:iCs/>
    </w:rPr>
  </w:style>
  <w:style w:type="paragraph" w:styleId="Nhaykepm">
    <w:name w:val="Intense Quote"/>
    <w:basedOn w:val="Binhthng"/>
    <w:next w:val="Binhthng"/>
    <w:link w:val="Nhaykepm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NhaykepmChar">
    <w:name w:val="Nháy kép Đậm Char"/>
    <w:basedOn w:val="Phngmcinhcuaoanvn"/>
    <w:link w:val="Nhaykepm"/>
    <w:uiPriority w:val="30"/>
    <w:rsid w:val="00FC693F"/>
    <w:rPr>
      <w:b/>
      <w:bCs/>
      <w:i/>
      <w:iCs/>
      <w:color w:val="4F81BD" w:themeColor="accent1"/>
    </w:rPr>
  </w:style>
  <w:style w:type="character" w:styleId="NhnmanhTinht">
    <w:name w:val="Subtle Emphasis"/>
    <w:basedOn w:val="Phngmcinhcuaoanvn"/>
    <w:uiPriority w:val="19"/>
    <w:qFormat/>
    <w:rsid w:val="00FC693F"/>
    <w:rPr>
      <w:i/>
      <w:iCs/>
      <w:color w:val="808080" w:themeColor="text1" w:themeTint="7F"/>
    </w:rPr>
  </w:style>
  <w:style w:type="character" w:styleId="NhnmnhThm">
    <w:name w:val="Intense Emphasis"/>
    <w:basedOn w:val="Phngmcinhcuaoanvn"/>
    <w:uiPriority w:val="21"/>
    <w:qFormat/>
    <w:rsid w:val="00FC693F"/>
    <w:rPr>
      <w:b/>
      <w:bCs/>
      <w:i/>
      <w:iCs/>
      <w:color w:val="4F81BD" w:themeColor="accent1"/>
    </w:rPr>
  </w:style>
  <w:style w:type="character" w:styleId="ThamchiuTinht">
    <w:name w:val="Subtle Reference"/>
    <w:basedOn w:val="Phngmcinhcuaoanvn"/>
    <w:uiPriority w:val="31"/>
    <w:qFormat/>
    <w:rsid w:val="00FC693F"/>
    <w:rPr>
      <w:smallCaps/>
      <w:color w:val="C0504D" w:themeColor="accent2"/>
      <w:u w:val="single"/>
    </w:rPr>
  </w:style>
  <w:style w:type="character" w:styleId="ThamchiuNhnmnh">
    <w:name w:val="Intense Reference"/>
    <w:basedOn w:val="Phngmcinhcuaoanvn"/>
    <w:uiPriority w:val="32"/>
    <w:qFormat/>
    <w:rsid w:val="00FC693F"/>
    <w:rPr>
      <w:b/>
      <w:bCs/>
      <w:smallCaps/>
      <w:color w:val="C0504D" w:themeColor="accent2"/>
      <w:spacing w:val="5"/>
      <w:u w:val="single"/>
    </w:rPr>
  </w:style>
  <w:style w:type="character" w:styleId="TiuSach">
    <w:name w:val="Book Title"/>
    <w:basedOn w:val="Phngmcinhcuaoanvn"/>
    <w:uiPriority w:val="33"/>
    <w:qFormat/>
    <w:rsid w:val="00FC693F"/>
    <w:rPr>
      <w:b/>
      <w:bCs/>
      <w:smallCaps/>
      <w:spacing w:val="5"/>
    </w:rPr>
  </w:style>
  <w:style w:type="paragraph" w:styleId="uMucluc">
    <w:name w:val="TOC Heading"/>
    <w:basedOn w:val="u1"/>
    <w:next w:val="Binhthng"/>
    <w:uiPriority w:val="39"/>
    <w:semiHidden/>
    <w:unhideWhenUsed/>
    <w:qFormat/>
    <w:rsid w:val="00FC693F"/>
    <w:pPr>
      <w:outlineLvl w:val="9"/>
    </w:pPr>
  </w:style>
  <w:style w:type="table" w:styleId="LiBang">
    <w:name w:val="Table Grid"/>
    <w:basedOn w:val="BangThngthng"/>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nnMausang">
    <w:name w:val="Light Shading"/>
    <w:basedOn w:val="BangThngthng"/>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nnMausang-Nhnmanh1">
    <w:name w:val="Light Shading Accent 1"/>
    <w:basedOn w:val="BangThngthng"/>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nnMausang-Nhnmanh2">
    <w:name w:val="Light Shading Accent 2"/>
    <w:basedOn w:val="BangThngthng"/>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nnMausang-Nhnmanh3">
    <w:name w:val="Light Shading Accent 3"/>
    <w:basedOn w:val="BangThngthng"/>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nnMausang-Nhnmanh4">
    <w:name w:val="Light Shading Accent 4"/>
    <w:basedOn w:val="BangThngthng"/>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nnMausang-Nhnmanh5">
    <w:name w:val="Light Shading Accent 5"/>
    <w:basedOn w:val="BangThngthng"/>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nnMausang-Nhnmanh6">
    <w:name w:val="Light Shading Accent 6"/>
    <w:basedOn w:val="BangThngthng"/>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DanhsachMausang">
    <w:name w:val="Light List"/>
    <w:basedOn w:val="BangThngthng"/>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DanhsachMausang-Nhnmanh1">
    <w:name w:val="Light List Accent 1"/>
    <w:basedOn w:val="BangThngthng"/>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DanhsachMausang-Nhnmanh2">
    <w:name w:val="Light List Accent 2"/>
    <w:basedOn w:val="BangThngthng"/>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DanhsachMausang-Nhnmanh3">
    <w:name w:val="Light List Accent 3"/>
    <w:basedOn w:val="BangThngthng"/>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DanhsachMausang-Nhnmanh4">
    <w:name w:val="Light List Accent 4"/>
    <w:basedOn w:val="BangThngthng"/>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DanhsachMausang-Nhnmanh5">
    <w:name w:val="Light List Accent 5"/>
    <w:basedOn w:val="BangThngthng"/>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DanhsachMausang-Nhnmanh6">
    <w:name w:val="Light List Accent 6"/>
    <w:basedOn w:val="BangThngthng"/>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Mausang">
    <w:name w:val="Light Grid"/>
    <w:basedOn w:val="BangThngthng"/>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Mausang-Nhnmanh1">
    <w:name w:val="Light Grid Accent 1"/>
    <w:basedOn w:val="BangThngthng"/>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Mausang-Nhnmanh2">
    <w:name w:val="Light Grid Accent 2"/>
    <w:basedOn w:val="BangThngthng"/>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Mausang-Nhnmanh3">
    <w:name w:val="Light Grid Accent 3"/>
    <w:basedOn w:val="BangThngthng"/>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Mausang-Nhnmanh4">
    <w:name w:val="Light Grid Accent 4"/>
    <w:basedOn w:val="BangThngthng"/>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Mausang-Nhnmanh5">
    <w:name w:val="Light Grid Accent 5"/>
    <w:basedOn w:val="BangThngthng"/>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Mausang-Nhnmanh6">
    <w:name w:val="Light Grid Accent 6"/>
    <w:basedOn w:val="BangThngthng"/>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nnVa1">
    <w:name w:val="Medium Shading 1"/>
    <w:basedOn w:val="BangThngthng"/>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nnVa1-Nhnmanh1">
    <w:name w:val="Medium Shading 1 Accent 1"/>
    <w:basedOn w:val="BangThngthng"/>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nnVa1-Nhnmanh2">
    <w:name w:val="Medium Shading 1 Accent 2"/>
    <w:basedOn w:val="BangThngthng"/>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nnVa1-Nhnmanh3">
    <w:name w:val="Medium Shading 1 Accent 3"/>
    <w:basedOn w:val="BangThngthng"/>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nnVa1-Nhnmanh4">
    <w:name w:val="Medium Shading 1 Accent 4"/>
    <w:basedOn w:val="BangThngthng"/>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nnVa1-Nhnmanh5">
    <w:name w:val="Medium Shading 1 Accent 5"/>
    <w:basedOn w:val="BangThngthng"/>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nnVa1-Nhnmanh6">
    <w:name w:val="Medium Shading 1 Accent 6"/>
    <w:basedOn w:val="BangThngthng"/>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nnVa2">
    <w:name w:val="Medium Shading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1">
    <w:name w:val="Medium Shading 2 Accent 1"/>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2">
    <w:name w:val="Medium Shading 2 Accent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3">
    <w:name w:val="Medium Shading 2 Accent 3"/>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4">
    <w:name w:val="Medium Shading 2 Accent 4"/>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5">
    <w:name w:val="Medium Shading 2 Accent 5"/>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6">
    <w:name w:val="Medium Shading 2 Accent 6"/>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nhsachVa1">
    <w:name w:val="Medium List 1"/>
    <w:basedOn w:val="BangThngthng"/>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DanhsachVa1-Nhnmanh1">
    <w:name w:val="Medium List 1 Accent 1"/>
    <w:basedOn w:val="BangThngthng"/>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DanhsachVa1-Nhnmanh2">
    <w:name w:val="Medium List 1 Accent 2"/>
    <w:basedOn w:val="BangThngthng"/>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DanhsachVa1-Nhnmanh3">
    <w:name w:val="Medium List 1 Accent 3"/>
    <w:basedOn w:val="BangThngthng"/>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DanhsachVa1-Nhnmanh4">
    <w:name w:val="Medium List 1 Accent 4"/>
    <w:basedOn w:val="BangThngthng"/>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DanhsachVa1-Nhnmanh5">
    <w:name w:val="Medium List 1 Accent 5"/>
    <w:basedOn w:val="BangThngthng"/>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DanhsachVa1-Nhnmanh6">
    <w:name w:val="Medium List 1 Accent 6"/>
    <w:basedOn w:val="BangThngthng"/>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DanhsachVa2">
    <w:name w:val="Medium Lis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1">
    <w:name w:val="Medium List 2 Accent 1"/>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2">
    <w:name w:val="Medium List 2 Accen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3">
    <w:name w:val="Medium List 2 Accent 3"/>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4">
    <w:name w:val="Medium List 2 Accent 4"/>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5">
    <w:name w:val="Medium List 2 Accent 5"/>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6">
    <w:name w:val="Medium List 2 Accent 6"/>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LiVa1">
    <w:name w:val="Medium Grid 1"/>
    <w:basedOn w:val="BangThngthng"/>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Va1-Nhnmanh1">
    <w:name w:val="Medium Grid 1 Accent 1"/>
    <w:basedOn w:val="BangThngthng"/>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Va1-Nhnmanh2">
    <w:name w:val="Medium Grid 1 Accent 2"/>
    <w:basedOn w:val="BangThngthng"/>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Va1-Nhnmanh3">
    <w:name w:val="Medium Grid 1 Accent 3"/>
    <w:basedOn w:val="BangThngthng"/>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Va1-Nhnmanh4">
    <w:name w:val="Medium Grid 1 Accent 4"/>
    <w:basedOn w:val="BangThngthng"/>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Va1-Nhnmanh5">
    <w:name w:val="Medium Grid 1 Accent 5"/>
    <w:basedOn w:val="BangThngthng"/>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Va1-Nhnmanh6">
    <w:name w:val="Medium Grid 1 Accent 6"/>
    <w:basedOn w:val="BangThngthng"/>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Va2">
    <w:name w:val="Medium Grid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Va2-Nhnmanh1">
    <w:name w:val="Medium Grid 2 Accent 1"/>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Va2-Nhnmanh2">
    <w:name w:val="Medium Grid 2 Accent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LiVa2-Nhnmanh3">
    <w:name w:val="Medium Grid 2 Accent 3"/>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Va2-Nhnmanh4">
    <w:name w:val="Medium Grid 2 Accent 4"/>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LiVa2-Nhnmanh5">
    <w:name w:val="Medium Grid 2 Accent 5"/>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Va2-Nhnmanh6">
    <w:name w:val="Medium Grid 2 Accent 6"/>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Va3">
    <w:name w:val="Medium Grid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Va3-Nhnmanh1">
    <w:name w:val="Medium Grid 3 Accent 1"/>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Va3-Nhnmanh2">
    <w:name w:val="Medium Grid 3 Accent 2"/>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Va3-Nhnmanh3">
    <w:name w:val="Medium Grid 3 Accent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Va3-Nhnmanh4">
    <w:name w:val="Medium Grid 3 Accent 4"/>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Va3-Nhnmanh5">
    <w:name w:val="Medium Grid 3 Accent 5"/>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Va3-Nhnmanh6">
    <w:name w:val="Medium Grid 3 Accent 6"/>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nhsachSm">
    <w:name w:val="Dark List"/>
    <w:basedOn w:val="BangThngthng"/>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nhsachSm-Nhnmanh1">
    <w:name w:val="Dark List Accent 1"/>
    <w:basedOn w:val="BangThngthng"/>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nhsachSm-Nhnmanh2">
    <w:name w:val="Dark List Accent 2"/>
    <w:basedOn w:val="BangThngthng"/>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nhsachSm-Nhnmanh3">
    <w:name w:val="Dark List Accent 3"/>
    <w:basedOn w:val="BangThngthng"/>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nhsachSm-Nhnmanh4">
    <w:name w:val="Dark List Accent 4"/>
    <w:basedOn w:val="BangThngthng"/>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nhsachSm-Nhnmanh5">
    <w:name w:val="Dark List Accent 5"/>
    <w:basedOn w:val="BangThngthng"/>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nhsachSm-Nhnmanh6">
    <w:name w:val="Dark List Accent 6"/>
    <w:basedOn w:val="BangThngthng"/>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nnScs">
    <w:name w:val="Colorful Shading"/>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nnScs-Nhnmanh1">
    <w:name w:val="Colorful Shading Accent 1"/>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nnScs-Nhnmanh2">
    <w:name w:val="Colorful Shading Accent 2"/>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nnScs-Nhnmanh3">
    <w:name w:val="Colorful Shading Accent 3"/>
    <w:basedOn w:val="BangThngthng"/>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nnScs-Nhnmanh4">
    <w:name w:val="Colorful Shading Accent 4"/>
    <w:basedOn w:val="BangThngthng"/>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nnScs-Nhnmanh5">
    <w:name w:val="Colorful Shading Accent 5"/>
    <w:basedOn w:val="BangThngthng"/>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nnScs-Nhnmanh6">
    <w:name w:val="Colorful Shading Accent 6"/>
    <w:basedOn w:val="BangThngthng"/>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nhsachScs">
    <w:name w:val="Colorful List"/>
    <w:basedOn w:val="BangThngthng"/>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DanhsachScs-Nhnmanh1">
    <w:name w:val="Colorful List Accent 1"/>
    <w:basedOn w:val="BangThngthng"/>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DanhsachScs-Nhnmanh2">
    <w:name w:val="Colorful List Accent 2"/>
    <w:basedOn w:val="BangThngthng"/>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DanhsachScs-Nhnmanh3">
    <w:name w:val="Colorful List Accent 3"/>
    <w:basedOn w:val="BangThngthng"/>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DanhsachScs-Nhnmanh4">
    <w:name w:val="Colorful List Accent 4"/>
    <w:basedOn w:val="BangThngthng"/>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DanhsachScs-Nhnmanh5">
    <w:name w:val="Colorful List Accent 5"/>
    <w:basedOn w:val="BangThngthng"/>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nhsachScs-Nhnmanh6">
    <w:name w:val="Colorful List Accent 6"/>
    <w:basedOn w:val="BangThngthng"/>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LiScs">
    <w:name w:val="Colorful Grid"/>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cs-Nhnmanh1">
    <w:name w:val="Colorful Grid Accent 1"/>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cs-Nhnmanh2">
    <w:name w:val="Colorful Grid Accent 2"/>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cs-Nhnmanh3">
    <w:name w:val="Colorful Grid Accent 3"/>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cs-Nhnmanh4">
    <w:name w:val="Colorful Grid Accent 4"/>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cs-Nhnmanh5">
    <w:name w:val="Colorful Grid Accent 5"/>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cs-Nhnmanh6">
    <w:name w:val="Colorful Grid Accent 6"/>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539CF-C4A2-4E9B-8D3A-2EEFF9588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TRUONG DUY NGUYEN</cp:lastModifiedBy>
  <cp:revision>12</cp:revision>
  <dcterms:created xsi:type="dcterms:W3CDTF">2026-04-07T09:09:00Z</dcterms:created>
  <dcterms:modified xsi:type="dcterms:W3CDTF">2026-04-14T08:05:00Z</dcterms:modified>
  <cp:category/>
</cp:coreProperties>
</file>